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2213573" w:displacedByCustomXml="next"/>
    <w:bookmarkEnd w:id="0" w:displacedByCustomXml="next"/>
    <w:bookmarkStart w:id="1" w:name="_Toc112768037" w:displacedByCustomXml="next"/>
    <w:bookmarkStart w:id="2" w:name="_Toc96355879" w:displacedByCustomXml="next"/>
    <w:sdt>
      <w:sdtPr>
        <w:rPr>
          <w:rFonts w:ascii="Montserrat SemiBold" w:hAnsi="Montserrat SemiBold"/>
          <w:caps/>
          <w:color w:val="545454"/>
          <w:sz w:val="96"/>
          <w:szCs w:val="96"/>
        </w:rPr>
        <w:id w:val="-2094846705"/>
        <w:docPartObj>
          <w:docPartGallery w:val="Cover Pages"/>
          <w:docPartUnique/>
        </w:docPartObj>
      </w:sdtPr>
      <w:sdtEndPr>
        <w:rPr>
          <w:rFonts w:ascii="Arial" w:hAnsi="Arial"/>
          <w:color w:val="262626"/>
        </w:rPr>
      </w:sdtEndPr>
      <w:sdtContent>
        <w:p w14:paraId="04A3F4B1" w14:textId="1E6AD94E" w:rsidR="009906D8" w:rsidRDefault="007E16ED" w:rsidP="007E16ED">
          <w:pPr>
            <w:jc w:val="center"/>
            <w:rPr>
              <w:rFonts w:ascii="Montserrat SemiBold" w:hAnsi="Montserrat SemiBold"/>
              <w:color w:val="545454"/>
              <w:sz w:val="96"/>
              <w:szCs w:val="96"/>
            </w:rPr>
          </w:pPr>
          <w:r>
            <w:rPr>
              <w:noProof/>
            </w:rPr>
            <w:drawing>
              <wp:inline distT="0" distB="0" distL="0" distR="0" wp14:anchorId="0105AD8E" wp14:editId="056BE8BE">
                <wp:extent cx="3003826" cy="1016000"/>
                <wp:effectExtent l="0" t="0" r="6350" b="0"/>
                <wp:docPr id="1040418013" name="Picture 1" descr="Internal Audit, Risk, and Corporate Fraud Team Logo: Aware:Ass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18013" name="Picture 1" descr="Internal Audit, Risk, and Corporate Fraud Team Logo: Aware:Assure Logo"/>
                        <pic:cNvPicPr/>
                      </pic:nvPicPr>
                      <pic:blipFill rotWithShape="1">
                        <a:blip r:embed="rId12"/>
                        <a:srcRect l="41658" t="33484" r="43274" b="57455"/>
                        <a:stretch/>
                      </pic:blipFill>
                      <pic:spPr bwMode="auto">
                        <a:xfrm>
                          <a:off x="0" y="0"/>
                          <a:ext cx="3054043" cy="1032985"/>
                        </a:xfrm>
                        <a:prstGeom prst="rect">
                          <a:avLst/>
                        </a:prstGeom>
                        <a:ln>
                          <a:noFill/>
                        </a:ln>
                        <a:extLst>
                          <a:ext uri="{53640926-AAD7-44D8-BBD7-CCE9431645EC}">
                            <a14:shadowObscured xmlns:a14="http://schemas.microsoft.com/office/drawing/2010/main"/>
                          </a:ext>
                        </a:extLst>
                      </pic:spPr>
                    </pic:pic>
                  </a:graphicData>
                </a:graphic>
              </wp:inline>
            </w:drawing>
          </w:r>
        </w:p>
        <w:p w14:paraId="24EF3C1A" w14:textId="4AE129D6" w:rsidR="007E16ED" w:rsidRPr="00E41B00" w:rsidRDefault="00CC16A7" w:rsidP="00E41B00">
          <w:pPr>
            <w:rPr>
              <w:rFonts w:ascii="Montserrat SemiBold" w:hAnsi="Montserrat SemiBold"/>
              <w:color w:val="545454"/>
              <w:sz w:val="96"/>
              <w:szCs w:val="96"/>
            </w:rPr>
          </w:pPr>
          <w:r w:rsidRPr="0071590B">
            <w:rPr>
              <w:rFonts w:ascii="Montserrat SemiBold" w:hAnsi="Montserrat SemiBold"/>
              <w:noProof/>
              <w:color w:val="545454"/>
              <w:sz w:val="96"/>
              <w:szCs w:val="96"/>
            </w:rPr>
            <mc:AlternateContent>
              <mc:Choice Requires="wps">
                <w:drawing>
                  <wp:inline distT="0" distB="0" distL="0" distR="0" wp14:anchorId="73FED1D7" wp14:editId="1BC32B79">
                    <wp:extent cx="6629400" cy="1404620"/>
                    <wp:effectExtent l="0" t="0" r="0" b="508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solidFill>
                              <a:srgbClr val="FFFFFF"/>
                            </a:solidFill>
                            <a:ln w="9525">
                              <a:noFill/>
                              <a:miter lim="800000"/>
                              <a:headEnd/>
                              <a:tailEnd/>
                            </a:ln>
                          </wps:spPr>
                          <wps:txbx>
                            <w:txbxContent>
                              <w:p w14:paraId="37ECE140" w14:textId="56BF1B93" w:rsidR="009906D8" w:rsidRPr="00DC4085" w:rsidRDefault="009906D8" w:rsidP="009906D8">
                                <w:pPr>
                                  <w:pStyle w:val="Title"/>
                                  <w:rPr>
                                    <w:color w:val="auto"/>
                                    <w:sz w:val="56"/>
                                    <w:szCs w:val="56"/>
                                  </w:rPr>
                                </w:pPr>
                                <w:r w:rsidRPr="00DC4085">
                                  <w:rPr>
                                    <w:color w:val="auto"/>
                                    <w:sz w:val="56"/>
                                    <w:szCs w:val="56"/>
                                  </w:rPr>
                                  <w:t xml:space="preserve">Falkirk </w:t>
                                </w:r>
                                <w:r w:rsidR="00D32A56" w:rsidRPr="00DC4085">
                                  <w:rPr>
                                    <w:color w:val="auto"/>
                                    <w:sz w:val="56"/>
                                    <w:szCs w:val="56"/>
                                  </w:rPr>
                                  <w:t>Council</w:t>
                                </w:r>
                              </w:p>
                              <w:p w14:paraId="7CFAA27E" w14:textId="77777777" w:rsidR="00D32A56" w:rsidRPr="00DC4085" w:rsidRDefault="00D32A56" w:rsidP="00D32A56">
                                <w:pPr>
                                  <w:rPr>
                                    <w:color w:val="0070C0"/>
                                  </w:rPr>
                                </w:pPr>
                              </w:p>
                              <w:p w14:paraId="5C7F98DD" w14:textId="77777777" w:rsidR="00743D89" w:rsidRPr="00DC4085" w:rsidRDefault="00743D89" w:rsidP="00D32A56">
                                <w:pPr>
                                  <w:pStyle w:val="Title"/>
                                  <w:rPr>
                                    <w:color w:val="0070C0"/>
                                    <w:sz w:val="56"/>
                                    <w:szCs w:val="56"/>
                                  </w:rPr>
                                </w:pPr>
                              </w:p>
                              <w:p w14:paraId="3B8B7484" w14:textId="25023257" w:rsidR="009906D8" w:rsidRPr="00DC4085" w:rsidRDefault="00D32A56" w:rsidP="009906D8">
                                <w:pPr>
                                  <w:pStyle w:val="Title"/>
                                  <w:rPr>
                                    <w:color w:val="0070C0"/>
                                    <w:sz w:val="56"/>
                                    <w:szCs w:val="56"/>
                                  </w:rPr>
                                </w:pPr>
                                <w:r w:rsidRPr="00DC4085">
                                  <w:rPr>
                                    <w:color w:val="0070C0"/>
                                    <w:sz w:val="56"/>
                                    <w:szCs w:val="56"/>
                                  </w:rPr>
                                  <w:t>2023 – 24</w:t>
                                </w:r>
                                <w:r w:rsidR="00CC16A7" w:rsidRPr="00DC4085">
                                  <w:rPr>
                                    <w:color w:val="0070C0"/>
                                    <w:sz w:val="56"/>
                                    <w:szCs w:val="56"/>
                                  </w:rPr>
                                  <w:t xml:space="preserve"> </w:t>
                                </w:r>
                                <w:r w:rsidR="009906D8" w:rsidRPr="00DC4085">
                                  <w:rPr>
                                    <w:color w:val="0070C0"/>
                                    <w:sz w:val="56"/>
                                    <w:szCs w:val="56"/>
                                  </w:rPr>
                                  <w:t xml:space="preserve">Risk Management </w:t>
                                </w:r>
                                <w:r w:rsidR="000D079A" w:rsidRPr="00DC4085">
                                  <w:rPr>
                                    <w:color w:val="0070C0"/>
                                    <w:sz w:val="56"/>
                                    <w:szCs w:val="56"/>
                                  </w:rPr>
                                  <w:t xml:space="preserve">Assurance </w:t>
                                </w:r>
                                <w:r w:rsidR="00424A07" w:rsidRPr="00DC4085">
                                  <w:rPr>
                                    <w:color w:val="0070C0"/>
                                    <w:sz w:val="56"/>
                                    <w:szCs w:val="56"/>
                                  </w:rPr>
                                  <w:t xml:space="preserve">Annual </w:t>
                                </w:r>
                                <w:r w:rsidR="009906D8" w:rsidRPr="00DC4085">
                                  <w:rPr>
                                    <w:color w:val="0070C0"/>
                                    <w:sz w:val="56"/>
                                    <w:szCs w:val="56"/>
                                  </w:rPr>
                                  <w:t xml:space="preserve">Report </w:t>
                                </w:r>
                              </w:p>
                            </w:txbxContent>
                          </wps:txbx>
                          <wps:bodyPr rot="0" vert="horz" wrap="square" lIns="0" tIns="45720" rIns="0" bIns="45720" anchor="t" anchorCtr="0">
                            <a:spAutoFit/>
                          </wps:bodyPr>
                        </wps:wsp>
                      </a:graphicData>
                    </a:graphic>
                  </wp:inline>
                </w:drawing>
              </mc:Choice>
              <mc:Fallback>
                <w:pict>
                  <v:shapetype w14:anchorId="73FED1D7" id="_x0000_t202" coordsize="21600,21600" o:spt="202" path="m,l,21600r21600,l21600,xe">
                    <v:stroke joinstyle="miter"/>
                    <v:path gradientshapeok="t" o:connecttype="rect"/>
                  </v:shapetype>
                  <v:shape id="Text Box 217" o:spid="_x0000_s1026" type="#_x0000_t202" style="width:5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guCQIAAO8DAAAOAAAAZHJzL2Uyb0RvYy54bWysU8Fu2zAMvQ/YPwi6L3aCJGuNOEWXLsOA&#10;rhvQ9QNkWY6FyaJGKbGzrx8lJ2nR3YrpIFAk9UQ+Pq1uhs6wg0KvwZZ8Osk5U1ZCre2u5E8/tx+u&#10;OPNB2FoYsKrkR+X5zfr9u1XvCjWDFkytkBGI9UXvSt6G4Ios87JVnfATcMpSsAHsRKAj7rIaRU/o&#10;nclmeb7MesDaIUjlPXnvxiBfJ/ymUTJ8bxqvAjMlp9pC2jHtVdyz9UoUOxSu1fJUhnhDFZ3Qlh69&#10;QN2JINge9T9QnZYIHpowkdBl0DRaqtQDdTPNX3Xz2AqnUi9EjncXmvz/g5UPh0f3A1kYPsFAA0xN&#10;eHcP8pdnFjatsDt1iwh9q0RND08jZVnvfHG6Gqn2hY8gVf8Nahqy2AdIQEODXWSF+mSETgM4XkhX&#10;Q2CSnMvl7HqeU0hSbDrP58tZGksmivN1hz58UdCxaJQcaaoJXhzufYjliOKcEl/zYHS91cakA+6q&#10;jUF2EKSAbVqpg1dpxrK+5NeL2SIhW4j3kzg6HUihRnclv8rjGjUT6fhs65QShDajTZUYe+InUjKS&#10;E4ZqoMTIUwX1kZhCGJVIP4eMFvAPZz2psOT+916g4sx8tcR2lGwy5ouPRAvDs7d66RVWEkTJA2ej&#10;uQlJ4ql/d0vT2OrE03MFpxpJVYm+0w+Isn15TlnP/3T9FwAA//8DAFBLAwQUAAYACAAAACEATUzs&#10;fd4AAAAGAQAADwAAAGRycy9kb3ducmV2LnhtbEyPT0vDQBDF74LfYZmCN7tpKFJiNkWKVdGDNCkU&#10;b9Ps5A/Nzobstonf3q0XvTx4vOG936TryXTiQoNrLStYzCMQxKXVLdcK9sX2fgXCeWSNnWVS8E0O&#10;1tntTYqJtiPv6JL7WoQSdgkqaLzvEyld2ZBBN7c9ccgqOxj0wQ611AOOodx0Mo6iB2mw5bDQYE+b&#10;hspTfjYKnsfi5bAqNh/Fvjrk2zeuvl7fP5W6m01PjyA8Tf7vGK74AR2ywHS0Z9ZOdArCI/5Xr1m0&#10;XAZ/VBDHixhklsr/+NkPAAAA//8DAFBLAQItABQABgAIAAAAIQC2gziS/gAAAOEBAAATAAAAAAAA&#10;AAAAAAAAAAAAAABbQ29udGVudF9UeXBlc10ueG1sUEsBAi0AFAAGAAgAAAAhADj9If/WAAAAlAEA&#10;AAsAAAAAAAAAAAAAAAAALwEAAF9yZWxzLy5yZWxzUEsBAi0AFAAGAAgAAAAhANl2mC4JAgAA7wMA&#10;AA4AAAAAAAAAAAAAAAAALgIAAGRycy9lMm9Eb2MueG1sUEsBAi0AFAAGAAgAAAAhAE1M7H3eAAAA&#10;BgEAAA8AAAAAAAAAAAAAAAAAYwQAAGRycy9kb3ducmV2LnhtbFBLBQYAAAAABAAEAPMAAABuBQAA&#10;AAA=&#10;" stroked="f">
                    <v:textbox style="mso-fit-shape-to-text:t" inset="0,,0">
                      <w:txbxContent>
                        <w:p w14:paraId="37ECE140" w14:textId="56BF1B93" w:rsidR="009906D8" w:rsidRPr="00DC4085" w:rsidRDefault="009906D8" w:rsidP="009906D8">
                          <w:pPr>
                            <w:pStyle w:val="Title"/>
                            <w:rPr>
                              <w:color w:val="auto"/>
                              <w:sz w:val="56"/>
                              <w:szCs w:val="56"/>
                            </w:rPr>
                          </w:pPr>
                          <w:r w:rsidRPr="00DC4085">
                            <w:rPr>
                              <w:color w:val="auto"/>
                              <w:sz w:val="56"/>
                              <w:szCs w:val="56"/>
                            </w:rPr>
                            <w:t xml:space="preserve">Falkirk </w:t>
                          </w:r>
                          <w:r w:rsidR="00D32A56" w:rsidRPr="00DC4085">
                            <w:rPr>
                              <w:color w:val="auto"/>
                              <w:sz w:val="56"/>
                              <w:szCs w:val="56"/>
                            </w:rPr>
                            <w:t>Council</w:t>
                          </w:r>
                        </w:p>
                        <w:p w14:paraId="7CFAA27E" w14:textId="77777777" w:rsidR="00D32A56" w:rsidRPr="00DC4085" w:rsidRDefault="00D32A56" w:rsidP="00D32A56">
                          <w:pPr>
                            <w:rPr>
                              <w:color w:val="0070C0"/>
                            </w:rPr>
                          </w:pPr>
                        </w:p>
                        <w:p w14:paraId="5C7F98DD" w14:textId="77777777" w:rsidR="00743D89" w:rsidRPr="00DC4085" w:rsidRDefault="00743D89" w:rsidP="00D32A56">
                          <w:pPr>
                            <w:pStyle w:val="Title"/>
                            <w:rPr>
                              <w:color w:val="0070C0"/>
                              <w:sz w:val="56"/>
                              <w:szCs w:val="56"/>
                            </w:rPr>
                          </w:pPr>
                        </w:p>
                        <w:p w14:paraId="3B8B7484" w14:textId="25023257" w:rsidR="009906D8" w:rsidRPr="00DC4085" w:rsidRDefault="00D32A56" w:rsidP="009906D8">
                          <w:pPr>
                            <w:pStyle w:val="Title"/>
                            <w:rPr>
                              <w:color w:val="0070C0"/>
                              <w:sz w:val="56"/>
                              <w:szCs w:val="56"/>
                            </w:rPr>
                          </w:pPr>
                          <w:r w:rsidRPr="00DC4085">
                            <w:rPr>
                              <w:color w:val="0070C0"/>
                              <w:sz w:val="56"/>
                              <w:szCs w:val="56"/>
                            </w:rPr>
                            <w:t>2023 – 24</w:t>
                          </w:r>
                          <w:r w:rsidR="00CC16A7" w:rsidRPr="00DC4085">
                            <w:rPr>
                              <w:color w:val="0070C0"/>
                              <w:sz w:val="56"/>
                              <w:szCs w:val="56"/>
                            </w:rPr>
                            <w:t xml:space="preserve"> </w:t>
                          </w:r>
                          <w:r w:rsidR="009906D8" w:rsidRPr="00DC4085">
                            <w:rPr>
                              <w:color w:val="0070C0"/>
                              <w:sz w:val="56"/>
                              <w:szCs w:val="56"/>
                            </w:rPr>
                            <w:t xml:space="preserve">Risk Management </w:t>
                          </w:r>
                          <w:r w:rsidR="000D079A" w:rsidRPr="00DC4085">
                            <w:rPr>
                              <w:color w:val="0070C0"/>
                              <w:sz w:val="56"/>
                              <w:szCs w:val="56"/>
                            </w:rPr>
                            <w:t xml:space="preserve">Assurance </w:t>
                          </w:r>
                          <w:r w:rsidR="00424A07" w:rsidRPr="00DC4085">
                            <w:rPr>
                              <w:color w:val="0070C0"/>
                              <w:sz w:val="56"/>
                              <w:szCs w:val="56"/>
                            </w:rPr>
                            <w:t xml:space="preserve">Annual </w:t>
                          </w:r>
                          <w:r w:rsidR="009906D8" w:rsidRPr="00DC4085">
                            <w:rPr>
                              <w:color w:val="0070C0"/>
                              <w:sz w:val="56"/>
                              <w:szCs w:val="56"/>
                            </w:rPr>
                            <w:t xml:space="preserve">Report </w:t>
                          </w:r>
                        </w:p>
                      </w:txbxContent>
                    </v:textbox>
                    <w10:anchorlock/>
                  </v:shape>
                </w:pict>
              </mc:Fallback>
            </mc:AlternateContent>
          </w:r>
          <w:r w:rsidR="00910683" w:rsidRPr="00DC4085">
            <w:rPr>
              <w:color w:val="0070C0"/>
              <w:sz w:val="32"/>
              <w:szCs w:val="32"/>
            </w:rPr>
            <w:t>(</w:t>
          </w:r>
          <w:r w:rsidR="00531012" w:rsidRPr="00DC4085">
            <w:rPr>
              <w:color w:val="0070C0"/>
              <w:sz w:val="32"/>
              <w:szCs w:val="32"/>
            </w:rPr>
            <w:t xml:space="preserve">from 1 April 2023 to </w:t>
          </w:r>
          <w:r w:rsidR="000D079A" w:rsidRPr="00DC4085">
            <w:rPr>
              <w:color w:val="0070C0"/>
              <w:sz w:val="32"/>
              <w:szCs w:val="32"/>
            </w:rPr>
            <w:t xml:space="preserve">30 </w:t>
          </w:r>
          <w:r w:rsidR="00531012" w:rsidRPr="00DC4085">
            <w:rPr>
              <w:color w:val="0070C0"/>
              <w:sz w:val="32"/>
              <w:szCs w:val="32"/>
            </w:rPr>
            <w:t xml:space="preserve">September </w:t>
          </w:r>
          <w:r w:rsidR="009906D8" w:rsidRPr="00DC4085">
            <w:rPr>
              <w:color w:val="0070C0"/>
              <w:sz w:val="32"/>
              <w:szCs w:val="32"/>
            </w:rPr>
            <w:t>202</w:t>
          </w:r>
          <w:r w:rsidR="00B6059F" w:rsidRPr="00DC4085">
            <w:rPr>
              <w:color w:val="0070C0"/>
              <w:sz w:val="32"/>
              <w:szCs w:val="32"/>
            </w:rPr>
            <w:t>4</w:t>
          </w:r>
          <w:r w:rsidR="00910683" w:rsidRPr="00DC4085">
            <w:rPr>
              <w:color w:val="0070C0"/>
              <w:sz w:val="32"/>
              <w:szCs w:val="32"/>
            </w:rPr>
            <w:t>)</w:t>
          </w:r>
        </w:p>
        <w:p w14:paraId="4BEC0C42" w14:textId="475E5837" w:rsidR="007E16ED" w:rsidRDefault="007E16ED" w:rsidP="000D079A">
          <w:pPr>
            <w:pStyle w:val="Subtitle"/>
            <w:ind w:left="-993"/>
            <w:rPr>
              <w:color w:val="auto"/>
              <w:sz w:val="32"/>
              <w:szCs w:val="32"/>
            </w:rPr>
          </w:pPr>
        </w:p>
        <w:p w14:paraId="7C1FEFC2" w14:textId="5C2D7F77" w:rsidR="009906D8" w:rsidRPr="000D079A" w:rsidRDefault="009906D8" w:rsidP="000D079A">
          <w:pPr>
            <w:pStyle w:val="Subtitle"/>
            <w:ind w:left="-993"/>
            <w:rPr>
              <w:caps w:val="0"/>
              <w:color w:val="auto"/>
            </w:rPr>
          </w:pPr>
          <w:r>
            <w:rPr>
              <w:sz w:val="96"/>
              <w:szCs w:val="96"/>
            </w:rPr>
            <w:br w:type="page"/>
          </w:r>
        </w:p>
      </w:sdtContent>
    </w:sdt>
    <w:p w14:paraId="703DED18" w14:textId="77777777" w:rsidR="009906D8" w:rsidRDefault="009906D8" w:rsidP="009906D8">
      <w:pPr>
        <w:spacing w:after="160" w:line="259" w:lineRule="auto"/>
        <w:rPr>
          <w:rStyle w:val="Heading1Char"/>
        </w:rPr>
      </w:pPr>
    </w:p>
    <w:sdt>
      <w:sdtPr>
        <w:rPr>
          <w:rFonts w:asciiTheme="minorHAnsi" w:eastAsiaTheme="minorHAnsi" w:hAnsiTheme="minorHAnsi" w:cstheme="minorBidi"/>
          <w:b/>
          <w:bCs/>
          <w:caps/>
          <w:color w:val="auto"/>
          <w:sz w:val="28"/>
          <w:szCs w:val="22"/>
          <w:shd w:val="clear" w:color="auto" w:fill="4472C4" w:themeFill="accent1"/>
        </w:rPr>
        <w:id w:val="1701890409"/>
        <w:docPartObj>
          <w:docPartGallery w:val="Table of Contents"/>
          <w:docPartUnique/>
        </w:docPartObj>
      </w:sdtPr>
      <w:sdtEndPr>
        <w:rPr>
          <w:rFonts w:ascii="Arial" w:eastAsia="Calibri" w:hAnsi="Arial" w:cs="Arial"/>
          <w:color w:val="262626"/>
          <w:szCs w:val="20"/>
        </w:rPr>
      </w:sdtEndPr>
      <w:sdtContent>
        <w:p w14:paraId="12BDA93C" w14:textId="77777777" w:rsidR="009906D8" w:rsidRPr="00B16F50" w:rsidRDefault="009906D8" w:rsidP="009906D8">
          <w:pPr>
            <w:rPr>
              <w:b/>
              <w:bCs/>
              <w:color w:val="006889"/>
              <w:sz w:val="28"/>
              <w:szCs w:val="28"/>
            </w:rPr>
          </w:pPr>
          <w:r w:rsidRPr="00B16F50">
            <w:rPr>
              <w:rFonts w:eastAsiaTheme="minorHAnsi"/>
              <w:b/>
              <w:bCs/>
              <w:caps/>
              <w:color w:val="006889"/>
              <w:sz w:val="28"/>
              <w:szCs w:val="28"/>
            </w:rPr>
            <w:t>Contents</w:t>
          </w:r>
        </w:p>
        <w:p w14:paraId="4B6C9DAC" w14:textId="35BDF6A2" w:rsidR="001D217D" w:rsidRPr="007C4051" w:rsidRDefault="009906D8">
          <w:pPr>
            <w:pStyle w:val="TOC1"/>
            <w:tabs>
              <w:tab w:val="right" w:leader="dot" w:pos="9890"/>
            </w:tabs>
            <w:rPr>
              <w:rFonts w:eastAsiaTheme="minorEastAsia"/>
              <w:noProof/>
              <w:color w:val="auto"/>
              <w:kern w:val="2"/>
              <w:szCs w:val="22"/>
              <w:lang w:eastAsia="en-GB"/>
              <w14:ligatures w14:val="standardContextual"/>
            </w:rPr>
          </w:pPr>
          <w:r w:rsidRPr="00957564">
            <w:rPr>
              <w:szCs w:val="22"/>
            </w:rPr>
            <w:fldChar w:fldCharType="begin"/>
          </w:r>
          <w:r w:rsidRPr="00957564">
            <w:rPr>
              <w:szCs w:val="22"/>
            </w:rPr>
            <w:instrText xml:space="preserve"> TOC \o "1-3" \h \z \u </w:instrText>
          </w:r>
          <w:r w:rsidRPr="00957564">
            <w:rPr>
              <w:szCs w:val="22"/>
            </w:rPr>
            <w:fldChar w:fldCharType="separate"/>
          </w:r>
          <w:hyperlink w:anchor="_Toc177571544" w:history="1">
            <w:r w:rsidR="001D217D" w:rsidRPr="00957564">
              <w:rPr>
                <w:rStyle w:val="Hyperlink"/>
                <w:noProof/>
                <w:szCs w:val="22"/>
              </w:rPr>
              <w:t>Introduction</w:t>
            </w:r>
            <w:r w:rsidR="001D217D" w:rsidRPr="00957564">
              <w:rPr>
                <w:noProof/>
                <w:webHidden/>
                <w:szCs w:val="22"/>
              </w:rPr>
              <w:tab/>
            </w:r>
            <w:r w:rsidR="001D217D" w:rsidRPr="00957564">
              <w:rPr>
                <w:noProof/>
                <w:webHidden/>
                <w:szCs w:val="22"/>
              </w:rPr>
              <w:fldChar w:fldCharType="begin"/>
            </w:r>
            <w:r w:rsidR="001D217D" w:rsidRPr="00957564">
              <w:rPr>
                <w:noProof/>
                <w:webHidden/>
                <w:szCs w:val="22"/>
              </w:rPr>
              <w:instrText xml:space="preserve"> PAGEREF _Toc177571544 \h </w:instrText>
            </w:r>
            <w:r w:rsidR="001D217D" w:rsidRPr="00957564">
              <w:rPr>
                <w:noProof/>
                <w:webHidden/>
                <w:szCs w:val="22"/>
              </w:rPr>
            </w:r>
            <w:r w:rsidR="001D217D" w:rsidRPr="00957564">
              <w:rPr>
                <w:noProof/>
                <w:webHidden/>
                <w:szCs w:val="22"/>
              </w:rPr>
              <w:fldChar w:fldCharType="separate"/>
            </w:r>
            <w:r w:rsidR="001D217D" w:rsidRPr="00957564">
              <w:rPr>
                <w:noProof/>
                <w:webHidden/>
                <w:szCs w:val="22"/>
              </w:rPr>
              <w:t>3</w:t>
            </w:r>
            <w:r w:rsidR="001D217D" w:rsidRPr="00957564">
              <w:rPr>
                <w:noProof/>
                <w:webHidden/>
                <w:szCs w:val="22"/>
              </w:rPr>
              <w:fldChar w:fldCharType="end"/>
            </w:r>
          </w:hyperlink>
        </w:p>
        <w:p w14:paraId="20E9B4A4" w14:textId="53803C80" w:rsidR="001D217D" w:rsidRPr="007C4051" w:rsidRDefault="001D217D">
          <w:pPr>
            <w:pStyle w:val="TOC1"/>
            <w:tabs>
              <w:tab w:val="right" w:leader="dot" w:pos="9890"/>
            </w:tabs>
            <w:rPr>
              <w:rFonts w:eastAsiaTheme="minorEastAsia"/>
              <w:noProof/>
              <w:color w:val="auto"/>
              <w:kern w:val="2"/>
              <w:szCs w:val="22"/>
              <w:lang w:eastAsia="en-GB"/>
              <w14:ligatures w14:val="standardContextual"/>
            </w:rPr>
          </w:pPr>
          <w:hyperlink w:anchor="_Toc177571545" w:history="1">
            <w:r w:rsidRPr="00957564">
              <w:rPr>
                <w:rStyle w:val="Hyperlink"/>
                <w:noProof/>
                <w:szCs w:val="22"/>
              </w:rPr>
              <w:t>Corporate Risk Priorities</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_Toc177571545 \h </w:instrText>
            </w:r>
            <w:r w:rsidRPr="00957564">
              <w:rPr>
                <w:noProof/>
                <w:webHidden/>
                <w:szCs w:val="22"/>
              </w:rPr>
            </w:r>
            <w:r w:rsidRPr="00957564">
              <w:rPr>
                <w:noProof/>
                <w:webHidden/>
                <w:szCs w:val="22"/>
              </w:rPr>
              <w:fldChar w:fldCharType="separate"/>
            </w:r>
            <w:r w:rsidRPr="00957564">
              <w:rPr>
                <w:noProof/>
                <w:webHidden/>
                <w:szCs w:val="22"/>
              </w:rPr>
              <w:t>4</w:t>
            </w:r>
            <w:r w:rsidRPr="00957564">
              <w:rPr>
                <w:noProof/>
                <w:webHidden/>
                <w:szCs w:val="22"/>
              </w:rPr>
              <w:fldChar w:fldCharType="end"/>
            </w:r>
          </w:hyperlink>
        </w:p>
        <w:p w14:paraId="40C3B34C" w14:textId="7DA5B818" w:rsidR="001D217D" w:rsidRPr="007C4051" w:rsidRDefault="001D217D">
          <w:pPr>
            <w:pStyle w:val="TOC2"/>
            <w:tabs>
              <w:tab w:val="right" w:leader="dot" w:pos="9890"/>
            </w:tabs>
            <w:rPr>
              <w:rFonts w:eastAsiaTheme="minorEastAsia"/>
              <w:noProof/>
              <w:color w:val="auto"/>
              <w:kern w:val="2"/>
              <w:szCs w:val="22"/>
              <w:lang w:eastAsia="en-GB"/>
              <w14:ligatures w14:val="standardContextual"/>
            </w:rPr>
          </w:pPr>
          <w:hyperlink w:anchor="_Toc177571546" w:history="1">
            <w:r w:rsidRPr="00957564">
              <w:rPr>
                <w:rStyle w:val="Hyperlink"/>
                <w:noProof/>
                <w:szCs w:val="22"/>
              </w:rPr>
              <w:t>Action 1:  Policy and Improvement Plan</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_Toc177571546 \h </w:instrText>
            </w:r>
            <w:r w:rsidRPr="00957564">
              <w:rPr>
                <w:noProof/>
                <w:webHidden/>
                <w:szCs w:val="22"/>
              </w:rPr>
            </w:r>
            <w:r w:rsidRPr="00957564">
              <w:rPr>
                <w:noProof/>
                <w:webHidden/>
                <w:szCs w:val="22"/>
              </w:rPr>
              <w:fldChar w:fldCharType="separate"/>
            </w:r>
            <w:r w:rsidRPr="00957564">
              <w:rPr>
                <w:noProof/>
                <w:webHidden/>
                <w:szCs w:val="22"/>
              </w:rPr>
              <w:t>4</w:t>
            </w:r>
            <w:r w:rsidRPr="00957564">
              <w:rPr>
                <w:noProof/>
                <w:webHidden/>
                <w:szCs w:val="22"/>
              </w:rPr>
              <w:fldChar w:fldCharType="end"/>
            </w:r>
          </w:hyperlink>
        </w:p>
        <w:p w14:paraId="2EC23B89" w14:textId="6029FB43" w:rsidR="001D217D" w:rsidRPr="007C4051" w:rsidRDefault="001D217D">
          <w:pPr>
            <w:pStyle w:val="TOC2"/>
            <w:tabs>
              <w:tab w:val="right" w:leader="dot" w:pos="9890"/>
            </w:tabs>
            <w:rPr>
              <w:rFonts w:eastAsiaTheme="minorEastAsia"/>
              <w:noProof/>
              <w:color w:val="auto"/>
              <w:kern w:val="2"/>
              <w:szCs w:val="22"/>
              <w:lang w:eastAsia="en-GB"/>
              <w14:ligatures w14:val="standardContextual"/>
            </w:rPr>
          </w:pPr>
          <w:hyperlink w:anchor="_Toc177571547" w:history="1">
            <w:r w:rsidRPr="00957564">
              <w:rPr>
                <w:rStyle w:val="Hyperlink"/>
                <w:noProof/>
                <w:szCs w:val="22"/>
              </w:rPr>
              <w:t>Action 2:  CRR: Assess and manage risks to delivering the Council Plan</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_Toc177571547 \h </w:instrText>
            </w:r>
            <w:r w:rsidRPr="00957564">
              <w:rPr>
                <w:noProof/>
                <w:webHidden/>
                <w:szCs w:val="22"/>
              </w:rPr>
            </w:r>
            <w:r w:rsidRPr="00957564">
              <w:rPr>
                <w:noProof/>
                <w:webHidden/>
                <w:szCs w:val="22"/>
              </w:rPr>
              <w:fldChar w:fldCharType="separate"/>
            </w:r>
            <w:r w:rsidRPr="00957564">
              <w:rPr>
                <w:noProof/>
                <w:webHidden/>
                <w:szCs w:val="22"/>
              </w:rPr>
              <w:t>5</w:t>
            </w:r>
            <w:r w:rsidRPr="00957564">
              <w:rPr>
                <w:noProof/>
                <w:webHidden/>
                <w:szCs w:val="22"/>
              </w:rPr>
              <w:fldChar w:fldCharType="end"/>
            </w:r>
          </w:hyperlink>
        </w:p>
        <w:p w14:paraId="6C72B0D6" w14:textId="79AB3BC9" w:rsidR="001D217D" w:rsidRPr="007C4051" w:rsidRDefault="001D217D">
          <w:pPr>
            <w:pStyle w:val="TOC2"/>
            <w:tabs>
              <w:tab w:val="right" w:leader="dot" w:pos="9890"/>
            </w:tabs>
            <w:rPr>
              <w:rFonts w:eastAsiaTheme="minorEastAsia"/>
              <w:noProof/>
              <w:color w:val="auto"/>
              <w:kern w:val="2"/>
              <w:szCs w:val="22"/>
              <w:lang w:eastAsia="en-GB"/>
              <w14:ligatures w14:val="standardContextual"/>
            </w:rPr>
          </w:pPr>
          <w:hyperlink w:anchor="_Toc177571548" w:history="1">
            <w:r w:rsidRPr="00957564">
              <w:rPr>
                <w:rStyle w:val="Hyperlink"/>
                <w:noProof/>
                <w:szCs w:val="22"/>
              </w:rPr>
              <w:t>Action 3:  Assurance: Implement effective risk assurance and governance.</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_Toc177571548 \h </w:instrText>
            </w:r>
            <w:r w:rsidRPr="00957564">
              <w:rPr>
                <w:noProof/>
                <w:webHidden/>
                <w:szCs w:val="22"/>
              </w:rPr>
            </w:r>
            <w:r w:rsidRPr="00957564">
              <w:rPr>
                <w:noProof/>
                <w:webHidden/>
                <w:szCs w:val="22"/>
              </w:rPr>
              <w:fldChar w:fldCharType="separate"/>
            </w:r>
            <w:r w:rsidRPr="00957564">
              <w:rPr>
                <w:noProof/>
                <w:webHidden/>
                <w:szCs w:val="22"/>
              </w:rPr>
              <w:t>6</w:t>
            </w:r>
            <w:r w:rsidRPr="00957564">
              <w:rPr>
                <w:noProof/>
                <w:webHidden/>
                <w:szCs w:val="22"/>
              </w:rPr>
              <w:fldChar w:fldCharType="end"/>
            </w:r>
          </w:hyperlink>
        </w:p>
        <w:p w14:paraId="06F6F92F" w14:textId="17A32039" w:rsidR="001D217D" w:rsidRPr="007C4051" w:rsidRDefault="001D217D">
          <w:pPr>
            <w:pStyle w:val="TOC1"/>
            <w:tabs>
              <w:tab w:val="right" w:leader="dot" w:pos="9890"/>
            </w:tabs>
            <w:rPr>
              <w:rFonts w:eastAsiaTheme="minorEastAsia"/>
              <w:noProof/>
              <w:color w:val="auto"/>
              <w:kern w:val="2"/>
              <w:szCs w:val="22"/>
              <w:lang w:eastAsia="en-GB"/>
              <w14:ligatures w14:val="standardContextual"/>
            </w:rPr>
          </w:pPr>
          <w:hyperlink w:anchor="_Toc177571549" w:history="1">
            <w:r w:rsidRPr="00957564">
              <w:rPr>
                <w:rStyle w:val="Hyperlink"/>
                <w:noProof/>
                <w:szCs w:val="22"/>
              </w:rPr>
              <w:t>Service Risk Priorities</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_Toc177571549 \h </w:instrText>
            </w:r>
            <w:r w:rsidRPr="00957564">
              <w:rPr>
                <w:noProof/>
                <w:webHidden/>
                <w:szCs w:val="22"/>
              </w:rPr>
            </w:r>
            <w:r w:rsidRPr="00957564">
              <w:rPr>
                <w:noProof/>
                <w:webHidden/>
                <w:szCs w:val="22"/>
              </w:rPr>
              <w:fldChar w:fldCharType="separate"/>
            </w:r>
            <w:r w:rsidRPr="00957564">
              <w:rPr>
                <w:noProof/>
                <w:webHidden/>
                <w:szCs w:val="22"/>
              </w:rPr>
              <w:t>7</w:t>
            </w:r>
            <w:r w:rsidRPr="00957564">
              <w:rPr>
                <w:noProof/>
                <w:webHidden/>
                <w:szCs w:val="22"/>
              </w:rPr>
              <w:fldChar w:fldCharType="end"/>
            </w:r>
          </w:hyperlink>
        </w:p>
        <w:p w14:paraId="4BC221DE" w14:textId="61D0D10D" w:rsidR="001D217D" w:rsidRPr="007C4051" w:rsidRDefault="001D217D">
          <w:pPr>
            <w:pStyle w:val="TOC2"/>
            <w:tabs>
              <w:tab w:val="right" w:leader="dot" w:pos="9890"/>
            </w:tabs>
            <w:rPr>
              <w:rFonts w:eastAsiaTheme="minorEastAsia"/>
              <w:noProof/>
              <w:color w:val="auto"/>
              <w:kern w:val="2"/>
              <w:szCs w:val="22"/>
              <w:lang w:eastAsia="en-GB"/>
              <w14:ligatures w14:val="standardContextual"/>
            </w:rPr>
          </w:pPr>
          <w:hyperlink w:anchor="_Toc177571550" w:history="1">
            <w:r w:rsidRPr="00957564">
              <w:rPr>
                <w:rStyle w:val="Hyperlink"/>
                <w:noProof/>
                <w:szCs w:val="22"/>
              </w:rPr>
              <w:t>Action 4:  Service Risk Assurance Statements</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_Toc177571550 \h </w:instrText>
            </w:r>
            <w:r w:rsidRPr="00957564">
              <w:rPr>
                <w:noProof/>
                <w:webHidden/>
                <w:szCs w:val="22"/>
              </w:rPr>
            </w:r>
            <w:r w:rsidRPr="00957564">
              <w:rPr>
                <w:noProof/>
                <w:webHidden/>
                <w:szCs w:val="22"/>
              </w:rPr>
              <w:fldChar w:fldCharType="separate"/>
            </w:r>
            <w:r w:rsidRPr="00957564">
              <w:rPr>
                <w:noProof/>
                <w:webHidden/>
                <w:szCs w:val="22"/>
              </w:rPr>
              <w:t>7</w:t>
            </w:r>
            <w:r w:rsidRPr="00957564">
              <w:rPr>
                <w:noProof/>
                <w:webHidden/>
                <w:szCs w:val="22"/>
              </w:rPr>
              <w:fldChar w:fldCharType="end"/>
            </w:r>
          </w:hyperlink>
        </w:p>
        <w:p w14:paraId="719A186A" w14:textId="0E4B0334" w:rsidR="001D217D" w:rsidRPr="007C4051" w:rsidRDefault="001D217D">
          <w:pPr>
            <w:pStyle w:val="TOC2"/>
            <w:tabs>
              <w:tab w:val="right" w:leader="dot" w:pos="9890"/>
            </w:tabs>
            <w:rPr>
              <w:rFonts w:eastAsiaTheme="minorEastAsia"/>
              <w:noProof/>
              <w:color w:val="auto"/>
              <w:kern w:val="2"/>
              <w:szCs w:val="22"/>
              <w:lang w:eastAsia="en-GB"/>
              <w14:ligatures w14:val="standardContextual"/>
            </w:rPr>
          </w:pPr>
          <w:hyperlink w:anchor="_Toc177571551" w:history="1">
            <w:r w:rsidRPr="00957564">
              <w:rPr>
                <w:rStyle w:val="Hyperlink"/>
                <w:noProof/>
                <w:szCs w:val="22"/>
              </w:rPr>
              <w:t>Action 5:  Risk Training</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_Toc177571551 \h </w:instrText>
            </w:r>
            <w:r w:rsidRPr="00957564">
              <w:rPr>
                <w:noProof/>
                <w:webHidden/>
                <w:szCs w:val="22"/>
              </w:rPr>
            </w:r>
            <w:r w:rsidRPr="00957564">
              <w:rPr>
                <w:noProof/>
                <w:webHidden/>
                <w:szCs w:val="22"/>
              </w:rPr>
              <w:fldChar w:fldCharType="separate"/>
            </w:r>
            <w:r w:rsidRPr="00957564">
              <w:rPr>
                <w:noProof/>
                <w:webHidden/>
                <w:szCs w:val="22"/>
              </w:rPr>
              <w:t>7</w:t>
            </w:r>
            <w:r w:rsidRPr="00957564">
              <w:rPr>
                <w:noProof/>
                <w:webHidden/>
                <w:szCs w:val="22"/>
              </w:rPr>
              <w:fldChar w:fldCharType="end"/>
            </w:r>
          </w:hyperlink>
        </w:p>
        <w:p w14:paraId="3FA78162" w14:textId="4E2609F8" w:rsidR="001D217D" w:rsidRPr="007C4051" w:rsidRDefault="001D217D">
          <w:pPr>
            <w:pStyle w:val="TOC2"/>
            <w:tabs>
              <w:tab w:val="right" w:leader="dot" w:pos="9890"/>
            </w:tabs>
            <w:rPr>
              <w:rFonts w:eastAsiaTheme="minorEastAsia"/>
              <w:noProof/>
              <w:color w:val="auto"/>
              <w:kern w:val="2"/>
              <w:szCs w:val="22"/>
              <w:lang w:eastAsia="en-GB"/>
              <w14:ligatures w14:val="standardContextual"/>
            </w:rPr>
          </w:pPr>
          <w:hyperlink w:anchor="_Toc177571552" w:history="1">
            <w:r w:rsidRPr="00957564">
              <w:rPr>
                <w:rStyle w:val="Hyperlink"/>
                <w:noProof/>
                <w:szCs w:val="22"/>
              </w:rPr>
              <w:t>Action 6:  Specialist Risks</w:t>
            </w:r>
            <w:r w:rsidRPr="00957564">
              <w:rPr>
                <w:noProof/>
                <w:webHidden/>
                <w:szCs w:val="22"/>
              </w:rPr>
              <w:tab/>
            </w:r>
            <w:r w:rsidRPr="00957564">
              <w:rPr>
                <w:noProof/>
                <w:webHidden/>
                <w:szCs w:val="22"/>
              </w:rPr>
              <w:fldChar w:fldCharType="begin"/>
            </w:r>
            <w:r w:rsidRPr="00957564">
              <w:rPr>
                <w:noProof/>
                <w:webHidden/>
                <w:szCs w:val="22"/>
              </w:rPr>
              <w:instrText xml:space="preserve"> PAGEREF _Toc177571552 \h </w:instrText>
            </w:r>
            <w:r w:rsidRPr="00957564">
              <w:rPr>
                <w:noProof/>
                <w:webHidden/>
                <w:szCs w:val="22"/>
              </w:rPr>
            </w:r>
            <w:r w:rsidRPr="00957564">
              <w:rPr>
                <w:noProof/>
                <w:webHidden/>
                <w:szCs w:val="22"/>
              </w:rPr>
              <w:fldChar w:fldCharType="separate"/>
            </w:r>
            <w:r w:rsidRPr="00957564">
              <w:rPr>
                <w:noProof/>
                <w:webHidden/>
                <w:szCs w:val="22"/>
              </w:rPr>
              <w:t>7</w:t>
            </w:r>
            <w:r w:rsidRPr="00957564">
              <w:rPr>
                <w:noProof/>
                <w:webHidden/>
                <w:szCs w:val="22"/>
              </w:rPr>
              <w:fldChar w:fldCharType="end"/>
            </w:r>
          </w:hyperlink>
        </w:p>
        <w:p w14:paraId="69C20594" w14:textId="1308A615" w:rsidR="009906D8" w:rsidRDefault="009906D8" w:rsidP="009906D8">
          <w:r w:rsidRPr="00957564">
            <w:rPr>
              <w:b/>
              <w:bCs/>
              <w:szCs w:val="22"/>
            </w:rPr>
            <w:fldChar w:fldCharType="end"/>
          </w:r>
        </w:p>
      </w:sdtContent>
    </w:sdt>
    <w:p w14:paraId="535CE1AC" w14:textId="77777777" w:rsidR="009906D8" w:rsidRDefault="009906D8" w:rsidP="009906D8">
      <w:pPr>
        <w:pStyle w:val="Default"/>
        <w:rPr>
          <w:sz w:val="18"/>
          <w:szCs w:val="18"/>
        </w:rPr>
      </w:pPr>
    </w:p>
    <w:p w14:paraId="2D4A5455" w14:textId="77777777" w:rsidR="009906D8" w:rsidRDefault="009906D8" w:rsidP="009906D8">
      <w:pPr>
        <w:pStyle w:val="Default"/>
        <w:rPr>
          <w:sz w:val="18"/>
          <w:szCs w:val="18"/>
        </w:rPr>
      </w:pPr>
    </w:p>
    <w:p w14:paraId="17921A59" w14:textId="77777777" w:rsidR="009906D8" w:rsidRDefault="009906D8" w:rsidP="009906D8">
      <w:pPr>
        <w:pStyle w:val="Default"/>
        <w:rPr>
          <w:sz w:val="18"/>
          <w:szCs w:val="18"/>
        </w:rPr>
      </w:pPr>
    </w:p>
    <w:p w14:paraId="5B097729" w14:textId="77777777" w:rsidR="009906D8" w:rsidRDefault="009906D8" w:rsidP="009906D8">
      <w:pPr>
        <w:pStyle w:val="Default"/>
        <w:rPr>
          <w:sz w:val="18"/>
          <w:szCs w:val="18"/>
        </w:rPr>
      </w:pPr>
    </w:p>
    <w:p w14:paraId="152D4DE4" w14:textId="77777777" w:rsidR="009906D8" w:rsidRDefault="009906D8" w:rsidP="009906D8">
      <w:pPr>
        <w:pStyle w:val="Default"/>
        <w:rPr>
          <w:sz w:val="18"/>
          <w:szCs w:val="18"/>
        </w:rPr>
      </w:pPr>
    </w:p>
    <w:p w14:paraId="0611F02F" w14:textId="77777777" w:rsidR="009906D8" w:rsidRDefault="009906D8" w:rsidP="009906D8">
      <w:pPr>
        <w:pStyle w:val="Default"/>
        <w:rPr>
          <w:sz w:val="18"/>
          <w:szCs w:val="18"/>
        </w:rPr>
      </w:pPr>
    </w:p>
    <w:p w14:paraId="7937F212" w14:textId="77777777" w:rsidR="009906D8" w:rsidRDefault="009906D8" w:rsidP="009906D8">
      <w:pPr>
        <w:pStyle w:val="Default"/>
        <w:rPr>
          <w:sz w:val="18"/>
          <w:szCs w:val="18"/>
        </w:rPr>
      </w:pPr>
    </w:p>
    <w:p w14:paraId="724E82D0" w14:textId="77777777" w:rsidR="009906D8" w:rsidRDefault="009906D8" w:rsidP="009906D8">
      <w:pPr>
        <w:pStyle w:val="Default"/>
        <w:rPr>
          <w:sz w:val="18"/>
          <w:szCs w:val="18"/>
        </w:rPr>
      </w:pPr>
    </w:p>
    <w:p w14:paraId="48FD6384" w14:textId="77777777" w:rsidR="009906D8" w:rsidRDefault="009906D8" w:rsidP="009906D8">
      <w:pPr>
        <w:pStyle w:val="Default"/>
        <w:rPr>
          <w:sz w:val="18"/>
          <w:szCs w:val="18"/>
        </w:rPr>
      </w:pPr>
    </w:p>
    <w:p w14:paraId="3BDFA5D5" w14:textId="77777777" w:rsidR="009906D8" w:rsidRDefault="009906D8" w:rsidP="009906D8">
      <w:pPr>
        <w:pStyle w:val="Default"/>
        <w:rPr>
          <w:sz w:val="18"/>
          <w:szCs w:val="18"/>
        </w:rPr>
      </w:pPr>
    </w:p>
    <w:p w14:paraId="0DE99EEB" w14:textId="77777777" w:rsidR="009906D8" w:rsidRDefault="009906D8" w:rsidP="009906D8">
      <w:pPr>
        <w:pStyle w:val="Default"/>
        <w:rPr>
          <w:sz w:val="18"/>
          <w:szCs w:val="18"/>
        </w:rPr>
      </w:pPr>
    </w:p>
    <w:p w14:paraId="56825C3C" w14:textId="77777777" w:rsidR="009906D8" w:rsidRDefault="009906D8" w:rsidP="009906D8">
      <w:pPr>
        <w:pStyle w:val="Default"/>
        <w:rPr>
          <w:sz w:val="18"/>
          <w:szCs w:val="18"/>
        </w:rPr>
      </w:pPr>
    </w:p>
    <w:p w14:paraId="621952D8" w14:textId="77777777" w:rsidR="009906D8" w:rsidRDefault="009906D8" w:rsidP="009906D8">
      <w:pPr>
        <w:pStyle w:val="Default"/>
        <w:rPr>
          <w:sz w:val="18"/>
          <w:szCs w:val="18"/>
        </w:rPr>
      </w:pPr>
    </w:p>
    <w:p w14:paraId="008C1BA3" w14:textId="77777777" w:rsidR="009906D8" w:rsidRDefault="009906D8" w:rsidP="009906D8">
      <w:pPr>
        <w:pStyle w:val="Default"/>
        <w:rPr>
          <w:sz w:val="18"/>
          <w:szCs w:val="18"/>
        </w:rPr>
      </w:pPr>
    </w:p>
    <w:p w14:paraId="1A0CF6A9" w14:textId="77777777" w:rsidR="009906D8" w:rsidRDefault="009906D8" w:rsidP="009906D8">
      <w:pPr>
        <w:pStyle w:val="Default"/>
        <w:rPr>
          <w:sz w:val="18"/>
          <w:szCs w:val="18"/>
        </w:rPr>
      </w:pPr>
    </w:p>
    <w:p w14:paraId="7E5F7EF1" w14:textId="77777777" w:rsidR="009906D8" w:rsidRDefault="009906D8" w:rsidP="009906D8">
      <w:pPr>
        <w:pStyle w:val="Default"/>
        <w:rPr>
          <w:sz w:val="18"/>
          <w:szCs w:val="18"/>
        </w:rPr>
      </w:pPr>
    </w:p>
    <w:p w14:paraId="3095EF2E" w14:textId="77777777" w:rsidR="009906D8" w:rsidRDefault="009906D8" w:rsidP="009906D8">
      <w:pPr>
        <w:pStyle w:val="Default"/>
        <w:rPr>
          <w:sz w:val="18"/>
          <w:szCs w:val="18"/>
        </w:rPr>
      </w:pPr>
    </w:p>
    <w:p w14:paraId="0305911B" w14:textId="77777777" w:rsidR="009906D8" w:rsidRDefault="009906D8" w:rsidP="009906D8">
      <w:pPr>
        <w:pStyle w:val="Default"/>
        <w:rPr>
          <w:sz w:val="18"/>
          <w:szCs w:val="18"/>
        </w:rPr>
      </w:pPr>
    </w:p>
    <w:p w14:paraId="079C60AD" w14:textId="77777777" w:rsidR="009906D8" w:rsidRDefault="009906D8" w:rsidP="009906D8">
      <w:pPr>
        <w:pStyle w:val="Default"/>
        <w:rPr>
          <w:sz w:val="18"/>
          <w:szCs w:val="18"/>
        </w:rPr>
      </w:pPr>
    </w:p>
    <w:p w14:paraId="1535723E" w14:textId="77777777" w:rsidR="009906D8" w:rsidRDefault="009906D8" w:rsidP="009906D8">
      <w:pPr>
        <w:pStyle w:val="Default"/>
        <w:rPr>
          <w:sz w:val="18"/>
          <w:szCs w:val="18"/>
        </w:rPr>
      </w:pPr>
    </w:p>
    <w:tbl>
      <w:tblPr>
        <w:tblStyle w:val="TableGrid"/>
        <w:tblpPr w:leftFromText="180" w:rightFromText="180" w:vertAnchor="text" w:horzAnchor="margin" w:tblpYSpec="inside"/>
        <w:tblW w:w="0" w:type="auto"/>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843"/>
        <w:gridCol w:w="7183"/>
      </w:tblGrid>
      <w:tr w:rsidR="009906D8" w:rsidRPr="00EF5F63" w14:paraId="79803A51" w14:textId="77777777" w:rsidTr="00531012">
        <w:tc>
          <w:tcPr>
            <w:tcW w:w="1843" w:type="dxa"/>
            <w:tcBorders>
              <w:top w:val="nil"/>
              <w:bottom w:val="single" w:sz="4" w:space="0" w:color="auto"/>
              <w:right w:val="nil"/>
            </w:tcBorders>
          </w:tcPr>
          <w:p w14:paraId="068341F0" w14:textId="77777777" w:rsidR="009906D8" w:rsidRPr="007C4051" w:rsidRDefault="009906D8" w:rsidP="00537F88">
            <w:pPr>
              <w:rPr>
                <w:rStyle w:val="Strong"/>
                <w:rFonts w:ascii="Arial" w:hAnsi="Arial"/>
                <w:color w:val="auto"/>
              </w:rPr>
            </w:pPr>
          </w:p>
          <w:p w14:paraId="3E6C7122" w14:textId="3EC9A807" w:rsidR="00560EA2" w:rsidRPr="007C4051" w:rsidRDefault="00560EA2" w:rsidP="00537F88">
            <w:pPr>
              <w:rPr>
                <w:rStyle w:val="Strong"/>
                <w:rFonts w:ascii="Arial" w:hAnsi="Arial"/>
                <w:color w:val="auto"/>
              </w:rPr>
            </w:pPr>
          </w:p>
        </w:tc>
        <w:tc>
          <w:tcPr>
            <w:tcW w:w="7183" w:type="dxa"/>
            <w:tcBorders>
              <w:left w:val="nil"/>
              <w:bottom w:val="single" w:sz="4" w:space="0" w:color="auto"/>
            </w:tcBorders>
          </w:tcPr>
          <w:p w14:paraId="09E1AFBB" w14:textId="77777777" w:rsidR="009906D8" w:rsidRPr="007C4051" w:rsidRDefault="009906D8" w:rsidP="009F50C2">
            <w:pPr>
              <w:rPr>
                <w:rStyle w:val="Strong"/>
                <w:rFonts w:ascii="Arial" w:hAnsi="Arial"/>
                <w:color w:val="auto"/>
              </w:rPr>
            </w:pPr>
          </w:p>
          <w:p w14:paraId="78EDC558" w14:textId="77777777" w:rsidR="00560EA2" w:rsidRPr="007C4051" w:rsidRDefault="00560EA2" w:rsidP="009F50C2">
            <w:pPr>
              <w:rPr>
                <w:rStyle w:val="Strong"/>
                <w:rFonts w:ascii="Arial" w:hAnsi="Arial"/>
                <w:color w:val="auto"/>
              </w:rPr>
            </w:pPr>
          </w:p>
          <w:p w14:paraId="4D171AE8" w14:textId="77777777" w:rsidR="00560EA2" w:rsidRPr="007C4051" w:rsidRDefault="00560EA2" w:rsidP="009F50C2">
            <w:pPr>
              <w:rPr>
                <w:rStyle w:val="Strong"/>
                <w:rFonts w:ascii="Arial" w:hAnsi="Arial"/>
                <w:color w:val="auto"/>
              </w:rPr>
            </w:pPr>
          </w:p>
          <w:p w14:paraId="613CEDEB" w14:textId="77777777" w:rsidR="00560EA2" w:rsidRPr="007C4051" w:rsidRDefault="00560EA2" w:rsidP="009F50C2">
            <w:pPr>
              <w:rPr>
                <w:rStyle w:val="Strong"/>
                <w:rFonts w:ascii="Arial" w:hAnsi="Arial"/>
                <w:color w:val="auto"/>
              </w:rPr>
            </w:pPr>
          </w:p>
        </w:tc>
      </w:tr>
      <w:tr w:rsidR="009906D8" w:rsidRPr="00EF5F63" w14:paraId="06C21FF9" w14:textId="77777777" w:rsidTr="00531012">
        <w:tc>
          <w:tcPr>
            <w:tcW w:w="1843" w:type="dxa"/>
            <w:tcBorders>
              <w:top w:val="single" w:sz="4" w:space="0" w:color="auto"/>
              <w:left w:val="single" w:sz="4" w:space="0" w:color="auto"/>
              <w:bottom w:val="single" w:sz="4" w:space="0" w:color="auto"/>
              <w:right w:val="single" w:sz="4" w:space="0" w:color="auto"/>
            </w:tcBorders>
          </w:tcPr>
          <w:p w14:paraId="540DC902" w14:textId="3AA24F9B" w:rsidR="009906D8" w:rsidRPr="007C4051" w:rsidRDefault="00AF7A06" w:rsidP="009F50C2">
            <w:pPr>
              <w:spacing w:line="259" w:lineRule="auto"/>
              <w:rPr>
                <w:rStyle w:val="Strong"/>
                <w:rFonts w:ascii="Arial" w:hAnsi="Arial"/>
                <w:color w:val="auto"/>
              </w:rPr>
            </w:pPr>
            <w:bookmarkStart w:id="3" w:name="_Hlk96520819"/>
            <w:proofErr w:type="gramStart"/>
            <w:r w:rsidRPr="007C4051">
              <w:rPr>
                <w:rStyle w:val="Strong"/>
                <w:rFonts w:ascii="Arial" w:hAnsi="Arial"/>
                <w:color w:val="auto"/>
              </w:rPr>
              <w:t xml:space="preserve">Scrutinised  </w:t>
            </w:r>
            <w:r w:rsidR="009906D8" w:rsidRPr="007C4051">
              <w:rPr>
                <w:rStyle w:val="Strong"/>
                <w:rFonts w:ascii="Arial" w:hAnsi="Arial"/>
                <w:color w:val="auto"/>
              </w:rPr>
              <w:t>:</w:t>
            </w:r>
            <w:proofErr w:type="gramEnd"/>
          </w:p>
        </w:tc>
        <w:tc>
          <w:tcPr>
            <w:tcW w:w="7183" w:type="dxa"/>
            <w:tcBorders>
              <w:top w:val="single" w:sz="4" w:space="0" w:color="auto"/>
              <w:left w:val="single" w:sz="4" w:space="0" w:color="auto"/>
              <w:bottom w:val="single" w:sz="4" w:space="0" w:color="auto"/>
              <w:right w:val="single" w:sz="4" w:space="0" w:color="auto"/>
            </w:tcBorders>
          </w:tcPr>
          <w:p w14:paraId="2FE53229" w14:textId="6ECF0ED3" w:rsidR="009906D8" w:rsidRPr="007C4051" w:rsidRDefault="00531012" w:rsidP="00560EA2">
            <w:pPr>
              <w:rPr>
                <w:rStyle w:val="Strong"/>
                <w:rFonts w:ascii="Arial" w:hAnsi="Arial"/>
                <w:color w:val="auto"/>
              </w:rPr>
            </w:pPr>
            <w:r w:rsidRPr="007C4051">
              <w:rPr>
                <w:rStyle w:val="Strong"/>
                <w:rFonts w:ascii="Arial" w:hAnsi="Arial"/>
                <w:color w:val="auto"/>
              </w:rPr>
              <w:t>C</w:t>
            </w:r>
            <w:r w:rsidRPr="007C4051">
              <w:rPr>
                <w:rStyle w:val="Strong"/>
                <w:rFonts w:ascii="Arial" w:hAnsi="Arial"/>
              </w:rPr>
              <w:t xml:space="preserve">onsidered by </w:t>
            </w:r>
            <w:r w:rsidR="009906D8" w:rsidRPr="007C4051">
              <w:rPr>
                <w:rStyle w:val="Strong"/>
                <w:rFonts w:ascii="Arial" w:hAnsi="Arial"/>
                <w:color w:val="auto"/>
              </w:rPr>
              <w:t>Audit Committee</w:t>
            </w:r>
            <w:r w:rsidRPr="007C4051">
              <w:rPr>
                <w:rStyle w:val="Strong"/>
                <w:rFonts w:ascii="Arial" w:hAnsi="Arial"/>
                <w:color w:val="auto"/>
              </w:rPr>
              <w:t>,</w:t>
            </w:r>
            <w:r w:rsidRPr="007C4051">
              <w:rPr>
                <w:rStyle w:val="Strong"/>
                <w:rFonts w:ascii="Arial" w:hAnsi="Arial"/>
              </w:rPr>
              <w:t xml:space="preserve"> </w:t>
            </w:r>
            <w:r w:rsidR="00560EA2" w:rsidRPr="007C4051">
              <w:rPr>
                <w:rStyle w:val="Strong"/>
                <w:rFonts w:ascii="Arial" w:hAnsi="Arial"/>
                <w:color w:val="auto"/>
              </w:rPr>
              <w:t>O</w:t>
            </w:r>
            <w:r w:rsidR="00560EA2" w:rsidRPr="007C4051">
              <w:rPr>
                <w:rStyle w:val="Strong"/>
                <w:rFonts w:ascii="Arial" w:hAnsi="Arial"/>
              </w:rPr>
              <w:t>ctober</w:t>
            </w:r>
            <w:r w:rsidR="009906D8" w:rsidRPr="007C4051">
              <w:rPr>
                <w:rStyle w:val="Strong"/>
                <w:rFonts w:ascii="Arial" w:hAnsi="Arial"/>
                <w:color w:val="auto"/>
              </w:rPr>
              <w:t xml:space="preserve"> 202</w:t>
            </w:r>
            <w:r w:rsidR="00424A07" w:rsidRPr="007C4051">
              <w:rPr>
                <w:rStyle w:val="Strong"/>
                <w:rFonts w:ascii="Arial" w:hAnsi="Arial"/>
                <w:color w:val="auto"/>
              </w:rPr>
              <w:t>4</w:t>
            </w:r>
          </w:p>
        </w:tc>
      </w:tr>
      <w:tr w:rsidR="009906D8" w:rsidRPr="00EF5F63" w14:paraId="7E4580D2" w14:textId="77777777" w:rsidTr="00531012">
        <w:tc>
          <w:tcPr>
            <w:tcW w:w="1843" w:type="dxa"/>
            <w:tcBorders>
              <w:top w:val="single" w:sz="4" w:space="0" w:color="auto"/>
              <w:left w:val="single" w:sz="4" w:space="0" w:color="auto"/>
              <w:bottom w:val="single" w:sz="4" w:space="0" w:color="auto"/>
              <w:right w:val="single" w:sz="4" w:space="0" w:color="auto"/>
            </w:tcBorders>
          </w:tcPr>
          <w:p w14:paraId="0A112700" w14:textId="66C4AE36" w:rsidR="009906D8" w:rsidRPr="007C4051" w:rsidRDefault="00AE6460" w:rsidP="009F50C2">
            <w:pPr>
              <w:spacing w:line="259" w:lineRule="auto"/>
              <w:rPr>
                <w:rStyle w:val="Strong"/>
                <w:rFonts w:ascii="Arial" w:hAnsi="Arial"/>
                <w:color w:val="auto"/>
              </w:rPr>
            </w:pPr>
            <w:r w:rsidRPr="007C4051">
              <w:rPr>
                <w:rStyle w:val="Strong"/>
                <w:rFonts w:ascii="Arial" w:hAnsi="Arial"/>
                <w:color w:val="auto"/>
              </w:rPr>
              <w:t>Published:</w:t>
            </w:r>
          </w:p>
        </w:tc>
        <w:tc>
          <w:tcPr>
            <w:tcW w:w="7183" w:type="dxa"/>
            <w:tcBorders>
              <w:top w:val="single" w:sz="4" w:space="0" w:color="auto"/>
              <w:left w:val="single" w:sz="4" w:space="0" w:color="auto"/>
              <w:bottom w:val="single" w:sz="4" w:space="0" w:color="auto"/>
              <w:right w:val="single" w:sz="4" w:space="0" w:color="auto"/>
            </w:tcBorders>
          </w:tcPr>
          <w:p w14:paraId="4F11F088" w14:textId="05E387F4" w:rsidR="009906D8" w:rsidRPr="007C4051" w:rsidRDefault="000D2FB2" w:rsidP="009F50C2">
            <w:pPr>
              <w:rPr>
                <w:rStyle w:val="Strong"/>
                <w:rFonts w:ascii="Arial" w:hAnsi="Arial"/>
                <w:color w:val="auto"/>
              </w:rPr>
            </w:pPr>
            <w:hyperlink r:id="rId13" w:history="1">
              <w:r w:rsidRPr="007C4051">
                <w:rPr>
                  <w:rStyle w:val="Hyperlink"/>
                </w:rPr>
                <w:t>CRM Pages on Council Website</w:t>
              </w:r>
            </w:hyperlink>
            <w:r w:rsidR="009906D8" w:rsidRPr="007C4051">
              <w:rPr>
                <w:rStyle w:val="Strong"/>
                <w:rFonts w:ascii="Arial" w:hAnsi="Arial"/>
                <w:color w:val="auto"/>
              </w:rPr>
              <w:t xml:space="preserve"> </w:t>
            </w:r>
          </w:p>
        </w:tc>
      </w:tr>
      <w:tr w:rsidR="009906D8" w:rsidRPr="00EF5F63" w14:paraId="1BD867CB" w14:textId="77777777" w:rsidTr="00531012">
        <w:tc>
          <w:tcPr>
            <w:tcW w:w="1843" w:type="dxa"/>
            <w:tcBorders>
              <w:top w:val="single" w:sz="4" w:space="0" w:color="auto"/>
              <w:left w:val="single" w:sz="4" w:space="0" w:color="auto"/>
              <w:bottom w:val="single" w:sz="4" w:space="0" w:color="auto"/>
              <w:right w:val="single" w:sz="4" w:space="0" w:color="auto"/>
            </w:tcBorders>
          </w:tcPr>
          <w:p w14:paraId="4B6BFC50" w14:textId="77777777" w:rsidR="009906D8" w:rsidRPr="007C4051" w:rsidRDefault="009906D8" w:rsidP="009F50C2">
            <w:pPr>
              <w:spacing w:line="259" w:lineRule="auto"/>
              <w:rPr>
                <w:rStyle w:val="Strong"/>
                <w:rFonts w:ascii="Arial" w:hAnsi="Arial"/>
                <w:color w:val="auto"/>
              </w:rPr>
            </w:pPr>
            <w:r w:rsidRPr="007C4051">
              <w:rPr>
                <w:rStyle w:val="Strong"/>
                <w:rFonts w:ascii="Arial" w:hAnsi="Arial"/>
                <w:color w:val="auto"/>
              </w:rPr>
              <w:t>Key contact:</w:t>
            </w:r>
          </w:p>
        </w:tc>
        <w:tc>
          <w:tcPr>
            <w:tcW w:w="7183" w:type="dxa"/>
            <w:tcBorders>
              <w:top w:val="single" w:sz="4" w:space="0" w:color="auto"/>
              <w:left w:val="single" w:sz="4" w:space="0" w:color="auto"/>
              <w:bottom w:val="single" w:sz="4" w:space="0" w:color="auto"/>
              <w:right w:val="single" w:sz="4" w:space="0" w:color="auto"/>
            </w:tcBorders>
          </w:tcPr>
          <w:p w14:paraId="6606542E" w14:textId="3738839B" w:rsidR="009906D8" w:rsidRPr="007C4051" w:rsidRDefault="00531012" w:rsidP="009F50C2">
            <w:pPr>
              <w:rPr>
                <w:rStyle w:val="Strong"/>
                <w:rFonts w:ascii="Arial" w:hAnsi="Arial"/>
                <w:color w:val="auto"/>
                <w:highlight w:val="yellow"/>
              </w:rPr>
            </w:pPr>
            <w:r w:rsidRPr="007C4051">
              <w:t>A</w:t>
            </w:r>
            <w:r w:rsidRPr="00957564">
              <w:t>manda Templeman</w:t>
            </w:r>
            <w:r w:rsidR="00D557A8" w:rsidRPr="007C4051">
              <w:t>, Chief Finance Officer</w:t>
            </w:r>
          </w:p>
        </w:tc>
      </w:tr>
      <w:bookmarkEnd w:id="3"/>
    </w:tbl>
    <w:p w14:paraId="58128C9E" w14:textId="77777777" w:rsidR="009906D8" w:rsidRDefault="009906D8" w:rsidP="009906D8">
      <w:pPr>
        <w:pStyle w:val="Default"/>
        <w:rPr>
          <w:sz w:val="18"/>
          <w:szCs w:val="18"/>
        </w:rPr>
      </w:pPr>
    </w:p>
    <w:p w14:paraId="5AA97A3D" w14:textId="77777777" w:rsidR="009906D8" w:rsidRDefault="009906D8" w:rsidP="009906D8">
      <w:pPr>
        <w:spacing w:after="160" w:line="259" w:lineRule="auto"/>
        <w:rPr>
          <w:rFonts w:eastAsiaTheme="minorHAnsi"/>
          <w:color w:val="000000"/>
          <w:sz w:val="18"/>
          <w:szCs w:val="18"/>
        </w:rPr>
      </w:pPr>
      <w:r>
        <w:rPr>
          <w:sz w:val="18"/>
          <w:szCs w:val="18"/>
        </w:rPr>
        <w:br w:type="page"/>
      </w:r>
    </w:p>
    <w:tbl>
      <w:tblPr>
        <w:tblStyle w:val="TableGrid"/>
        <w:tblW w:w="0" w:type="auto"/>
        <w:shd w:val="clear" w:color="auto" w:fill="4472C4" w:themeFill="accent1"/>
        <w:tblLook w:val="04A0" w:firstRow="1" w:lastRow="0" w:firstColumn="1" w:lastColumn="0" w:noHBand="0" w:noVBand="1"/>
      </w:tblPr>
      <w:tblGrid>
        <w:gridCol w:w="9890"/>
      </w:tblGrid>
      <w:tr w:rsidR="008C7DD0" w:rsidRPr="008C7DD0" w14:paraId="01787224" w14:textId="77777777" w:rsidTr="001A6B83">
        <w:tc>
          <w:tcPr>
            <w:tcW w:w="9890" w:type="dxa"/>
            <w:shd w:val="clear" w:color="auto" w:fill="4472C4" w:themeFill="accent1"/>
          </w:tcPr>
          <w:p w14:paraId="68DD00E6" w14:textId="766D3104" w:rsidR="008C7DD0" w:rsidRPr="008C7DD0" w:rsidRDefault="008C7DD0" w:rsidP="009C5A8F">
            <w:pPr>
              <w:pStyle w:val="Heading1"/>
            </w:pPr>
            <w:bookmarkStart w:id="4" w:name="_Toc177571544"/>
            <w:r>
              <w:rPr>
                <w:szCs w:val="24"/>
              </w:rPr>
              <w:lastRenderedPageBreak/>
              <w:t>Introduction</w:t>
            </w:r>
            <w:bookmarkEnd w:id="4"/>
          </w:p>
        </w:tc>
      </w:tr>
    </w:tbl>
    <w:p w14:paraId="6DA5477A" w14:textId="77777777" w:rsidR="000F7C7C" w:rsidRDefault="000F7C7C" w:rsidP="00991B71">
      <w:pPr>
        <w:ind w:right="119"/>
      </w:pPr>
      <w:bookmarkStart w:id="5" w:name="_Hlk109999816"/>
      <w:bookmarkStart w:id="6" w:name="_Hlk110000418"/>
    </w:p>
    <w:p w14:paraId="34228F2E" w14:textId="1F24E36F" w:rsidR="008473E7" w:rsidRDefault="00335824" w:rsidP="008E36CE">
      <w:pPr>
        <w:ind w:right="-23"/>
        <w:rPr>
          <w:bCs/>
          <w:szCs w:val="24"/>
        </w:rPr>
      </w:pPr>
      <w:r w:rsidRPr="00760C42">
        <w:t xml:space="preserve">The purpose </w:t>
      </w:r>
      <w:r>
        <w:t xml:space="preserve">of this report </w:t>
      </w:r>
      <w:r w:rsidRPr="00760C42">
        <w:t xml:space="preserve">is to </w:t>
      </w:r>
      <w:r>
        <w:t xml:space="preserve">enable the Audit Committee to scrutinise </w:t>
      </w:r>
      <w:r w:rsidRPr="003A5E57">
        <w:rPr>
          <w:bCs/>
          <w:szCs w:val="24"/>
        </w:rPr>
        <w:t xml:space="preserve">progress with </w:t>
      </w:r>
      <w:r>
        <w:rPr>
          <w:bCs/>
          <w:szCs w:val="24"/>
        </w:rPr>
        <w:t>implementing</w:t>
      </w:r>
      <w:r w:rsidRPr="003A5E57">
        <w:rPr>
          <w:bCs/>
          <w:szCs w:val="24"/>
        </w:rPr>
        <w:t xml:space="preserve"> the </w:t>
      </w:r>
      <w:hyperlink r:id="rId14" w:history="1">
        <w:r w:rsidRPr="00793749">
          <w:rPr>
            <w:rStyle w:val="Hyperlink"/>
            <w:bCs/>
            <w:szCs w:val="24"/>
          </w:rPr>
          <w:t xml:space="preserve">Risk Management Assurance Policy </w:t>
        </w:r>
        <w:r w:rsidR="00793749" w:rsidRPr="00793749">
          <w:rPr>
            <w:rStyle w:val="Hyperlink"/>
            <w:bCs/>
            <w:szCs w:val="24"/>
          </w:rPr>
          <w:t>(Policy)</w:t>
        </w:r>
      </w:hyperlink>
      <w:r w:rsidR="00793749" w:rsidRPr="00793749">
        <w:rPr>
          <w:bCs/>
          <w:szCs w:val="24"/>
        </w:rPr>
        <w:t>, which includes an</w:t>
      </w:r>
      <w:r w:rsidRPr="00793749">
        <w:rPr>
          <w:bCs/>
          <w:szCs w:val="24"/>
        </w:rPr>
        <w:t xml:space="preserve"> Improvement Plan</w:t>
      </w:r>
      <w:r w:rsidR="008E36CE" w:rsidRPr="00793749">
        <w:rPr>
          <w:bCs/>
          <w:szCs w:val="24"/>
        </w:rPr>
        <w:t xml:space="preserve"> (Plan)</w:t>
      </w:r>
      <w:r w:rsidR="008473E7">
        <w:rPr>
          <w:bCs/>
          <w:szCs w:val="24"/>
        </w:rPr>
        <w:t xml:space="preserve"> (agreed by the Executive in January 2023).</w:t>
      </w:r>
    </w:p>
    <w:p w14:paraId="6F41B6ED" w14:textId="77777777" w:rsidR="008473E7" w:rsidRDefault="008473E7" w:rsidP="008E36CE">
      <w:pPr>
        <w:ind w:right="-23"/>
        <w:rPr>
          <w:bCs/>
          <w:szCs w:val="24"/>
        </w:rPr>
      </w:pPr>
    </w:p>
    <w:p w14:paraId="73A26925" w14:textId="55FE6741" w:rsidR="008473E7" w:rsidRDefault="008473E7" w:rsidP="008473E7">
      <w:pPr>
        <w:ind w:right="-23"/>
      </w:pPr>
      <w:r>
        <w:t>This report summarises progress on the Plan to date</w:t>
      </w:r>
      <w:r w:rsidR="000B0DAB">
        <w:t>,</w:t>
      </w:r>
      <w:r>
        <w:t xml:space="preserve"> </w:t>
      </w:r>
      <w:proofErr w:type="gramStart"/>
      <w:r>
        <w:t>and also</w:t>
      </w:r>
      <w:proofErr w:type="gramEnd"/>
      <w:r>
        <w:t xml:space="preserve"> areas for continuous improvement.  Because the Council’s risks, controls, and governance continuously evolve, the actions should be seen as continuous improvements rather than completed ‘task and finish’ actions.  Also, all actions continue to be monitored because changes within the Council (e.g. resources and priorities) may mean that the assurance level on specific actions can improve or deteriorate at different points.</w:t>
      </w:r>
    </w:p>
    <w:p w14:paraId="20F03490" w14:textId="77777777" w:rsidR="008473E7" w:rsidRDefault="008473E7" w:rsidP="008E36CE">
      <w:pPr>
        <w:ind w:right="-23"/>
        <w:rPr>
          <w:bCs/>
          <w:szCs w:val="24"/>
        </w:rPr>
      </w:pPr>
    </w:p>
    <w:p w14:paraId="493A2380" w14:textId="00B99BFF" w:rsidR="00BD2D50" w:rsidRDefault="008473E7" w:rsidP="008E36CE">
      <w:pPr>
        <w:ind w:right="-23"/>
        <w:rPr>
          <w:bCs/>
          <w:szCs w:val="24"/>
        </w:rPr>
      </w:pPr>
      <w:r>
        <w:t>This report covers an 18-month period from April 2023 to September 2024, due to the timing of Audit Committee meetings, however, future reports will cover the period from April to March.</w:t>
      </w:r>
      <w:r>
        <w:rPr>
          <w:bCs/>
          <w:szCs w:val="24"/>
        </w:rPr>
        <w:t xml:space="preserve">  </w:t>
      </w:r>
      <w:r w:rsidR="00DC4085">
        <w:rPr>
          <w:bCs/>
          <w:szCs w:val="24"/>
        </w:rPr>
        <w:t xml:space="preserve">This report </w:t>
      </w:r>
      <w:r w:rsidR="008C7DD0">
        <w:t xml:space="preserve">is not, however, intended to duplicate the Executive’s role, which is to </w:t>
      </w:r>
      <w:r w:rsidR="001A4223">
        <w:rPr>
          <w:bCs/>
          <w:szCs w:val="24"/>
        </w:rPr>
        <w:t xml:space="preserve">scrutinise </w:t>
      </w:r>
      <w:r w:rsidR="003C5B03">
        <w:rPr>
          <w:bCs/>
          <w:szCs w:val="24"/>
        </w:rPr>
        <w:t xml:space="preserve">and agree the </w:t>
      </w:r>
      <w:hyperlink r:id="rId15" w:history="1">
        <w:r w:rsidR="003C5B03" w:rsidRPr="001A6B83">
          <w:rPr>
            <w:rStyle w:val="Hyperlink"/>
            <w:bCs/>
            <w:szCs w:val="24"/>
          </w:rPr>
          <w:t>Corporate Risk Register (CRR)</w:t>
        </w:r>
      </w:hyperlink>
      <w:r>
        <w:rPr>
          <w:bCs/>
          <w:szCs w:val="24"/>
        </w:rPr>
        <w:t xml:space="preserve"> (their last review was </w:t>
      </w:r>
      <w:hyperlink r:id="rId16" w:history="1">
        <w:r w:rsidRPr="008473E7">
          <w:rPr>
            <w:rStyle w:val="Hyperlink"/>
            <w:bCs/>
            <w:szCs w:val="24"/>
          </w:rPr>
          <w:t>June 2024</w:t>
        </w:r>
      </w:hyperlink>
      <w:r>
        <w:rPr>
          <w:bCs/>
          <w:szCs w:val="24"/>
        </w:rPr>
        <w:t>, and the next will be January 2025).</w:t>
      </w:r>
    </w:p>
    <w:p w14:paraId="20E78624" w14:textId="77777777" w:rsidR="004E2353" w:rsidRDefault="004E2353" w:rsidP="00991B71">
      <w:pPr>
        <w:ind w:right="119"/>
        <w:rPr>
          <w:bCs/>
          <w:szCs w:val="24"/>
        </w:rPr>
      </w:pPr>
    </w:p>
    <w:p w14:paraId="09157FD0" w14:textId="68521D00" w:rsidR="003568F3" w:rsidRDefault="003568F3" w:rsidP="00BA7887">
      <w:pPr>
        <w:ind w:right="-23"/>
        <w:rPr>
          <w:bCs/>
          <w:szCs w:val="24"/>
        </w:rPr>
      </w:pPr>
      <w:r>
        <w:rPr>
          <w:bCs/>
          <w:szCs w:val="24"/>
        </w:rPr>
        <w:t>Th</w:t>
      </w:r>
      <w:r w:rsidR="00335824">
        <w:rPr>
          <w:bCs/>
          <w:szCs w:val="24"/>
        </w:rPr>
        <w:t xml:space="preserve">e </w:t>
      </w:r>
      <w:r>
        <w:rPr>
          <w:bCs/>
          <w:szCs w:val="24"/>
        </w:rPr>
        <w:t>Plan</w:t>
      </w:r>
      <w:r w:rsidR="00335824">
        <w:rPr>
          <w:bCs/>
          <w:szCs w:val="24"/>
        </w:rPr>
        <w:t xml:space="preserve"> </w:t>
      </w:r>
      <w:r w:rsidR="0046506F">
        <w:rPr>
          <w:bCs/>
          <w:szCs w:val="24"/>
        </w:rPr>
        <w:t>has</w:t>
      </w:r>
      <w:r w:rsidR="00BD2D50">
        <w:rPr>
          <w:bCs/>
          <w:szCs w:val="24"/>
        </w:rPr>
        <w:t xml:space="preserve"> </w:t>
      </w:r>
      <w:r w:rsidR="000B0DAB">
        <w:rPr>
          <w:bCs/>
          <w:szCs w:val="24"/>
        </w:rPr>
        <w:t>six</w:t>
      </w:r>
      <w:r w:rsidR="0046506F">
        <w:rPr>
          <w:bCs/>
          <w:szCs w:val="24"/>
        </w:rPr>
        <w:t xml:space="preserve"> core actions, </w:t>
      </w:r>
      <w:r w:rsidR="00BD2D50">
        <w:rPr>
          <w:bCs/>
          <w:szCs w:val="24"/>
        </w:rPr>
        <w:t xml:space="preserve">and these are grouped into </w:t>
      </w:r>
      <w:r w:rsidR="000B0DAB">
        <w:rPr>
          <w:bCs/>
          <w:szCs w:val="24"/>
        </w:rPr>
        <w:t>two</w:t>
      </w:r>
      <w:r w:rsidR="00BD2D50">
        <w:rPr>
          <w:bCs/>
          <w:szCs w:val="24"/>
        </w:rPr>
        <w:t xml:space="preserve"> priorities as shown </w:t>
      </w:r>
      <w:r w:rsidR="0046506F">
        <w:rPr>
          <w:bCs/>
          <w:szCs w:val="24"/>
        </w:rPr>
        <w:t xml:space="preserve">below:                </w:t>
      </w:r>
    </w:p>
    <w:p w14:paraId="2FD56A2C" w14:textId="77777777" w:rsidR="00E463FF" w:rsidRDefault="00E463FF" w:rsidP="00991B71">
      <w:pPr>
        <w:ind w:right="119"/>
        <w:rPr>
          <w:bCs/>
          <w:szCs w:val="24"/>
        </w:rPr>
      </w:pPr>
    </w:p>
    <w:tbl>
      <w:tblPr>
        <w:tblStyle w:val="TableGrid"/>
        <w:tblW w:w="9634" w:type="dxa"/>
        <w:tblLook w:val="04A0" w:firstRow="1" w:lastRow="0" w:firstColumn="1" w:lastColumn="0" w:noHBand="0" w:noVBand="1"/>
      </w:tblPr>
      <w:tblGrid>
        <w:gridCol w:w="1696"/>
        <w:gridCol w:w="7938"/>
      </w:tblGrid>
      <w:tr w:rsidR="007E16ED" w:rsidRPr="003C2611" w14:paraId="783EC2B5" w14:textId="77777777" w:rsidTr="008E36CE">
        <w:trPr>
          <w:trHeight w:val="233"/>
        </w:trPr>
        <w:tc>
          <w:tcPr>
            <w:tcW w:w="1696" w:type="dxa"/>
            <w:shd w:val="clear" w:color="auto" w:fill="00B0F0"/>
          </w:tcPr>
          <w:p w14:paraId="007CFE0B" w14:textId="0FED1308" w:rsidR="007E16ED" w:rsidRPr="00E41B00" w:rsidRDefault="00DC4085" w:rsidP="00FE36AE">
            <w:pPr>
              <w:rPr>
                <w:b/>
                <w:bCs/>
                <w:color w:val="3B3838" w:themeColor="background2" w:themeShade="40"/>
              </w:rPr>
            </w:pPr>
            <w:r w:rsidRPr="00E41B00">
              <w:rPr>
                <w:b/>
                <w:bCs/>
                <w:color w:val="3B3838" w:themeColor="background2" w:themeShade="40"/>
              </w:rPr>
              <w:t xml:space="preserve">Risk </w:t>
            </w:r>
            <w:r w:rsidR="007E16ED" w:rsidRPr="00E41B00">
              <w:rPr>
                <w:b/>
                <w:bCs/>
                <w:color w:val="3B3838" w:themeColor="background2" w:themeShade="40"/>
              </w:rPr>
              <w:t>Priorities</w:t>
            </w:r>
          </w:p>
        </w:tc>
        <w:tc>
          <w:tcPr>
            <w:tcW w:w="7938" w:type="dxa"/>
            <w:shd w:val="clear" w:color="auto" w:fill="00B0F0"/>
          </w:tcPr>
          <w:p w14:paraId="3E87BBDC" w14:textId="27F42FD4" w:rsidR="007E16ED" w:rsidRPr="00E41B00" w:rsidRDefault="00DC4085" w:rsidP="008E36CE">
            <w:pPr>
              <w:rPr>
                <w:b/>
                <w:bCs/>
                <w:color w:val="3B3838" w:themeColor="background2" w:themeShade="40"/>
              </w:rPr>
            </w:pPr>
            <w:r w:rsidRPr="00E41B00">
              <w:rPr>
                <w:b/>
                <w:bCs/>
                <w:color w:val="3B3838" w:themeColor="background2" w:themeShade="40"/>
              </w:rPr>
              <w:t>Actions</w:t>
            </w:r>
          </w:p>
        </w:tc>
      </w:tr>
      <w:tr w:rsidR="007E16ED" w:rsidRPr="008B76B9" w14:paraId="112FBFFF" w14:textId="77777777" w:rsidTr="007E16ED">
        <w:tc>
          <w:tcPr>
            <w:tcW w:w="1696" w:type="dxa"/>
            <w:shd w:val="clear" w:color="auto" w:fill="FFC000"/>
          </w:tcPr>
          <w:p w14:paraId="1AC08727" w14:textId="32DC728E" w:rsidR="007E16ED" w:rsidRPr="00B16F50" w:rsidRDefault="007E16ED" w:rsidP="007E16ED">
            <w:pPr>
              <w:rPr>
                <w:color w:val="44546A" w:themeColor="text2"/>
              </w:rPr>
            </w:pPr>
            <w:r w:rsidRPr="00B16F50">
              <w:rPr>
                <w:color w:val="44546A" w:themeColor="text2"/>
                <w:szCs w:val="24"/>
              </w:rPr>
              <w:t>Corporate Risk Assurance</w:t>
            </w:r>
          </w:p>
        </w:tc>
        <w:tc>
          <w:tcPr>
            <w:tcW w:w="7938" w:type="dxa"/>
            <w:shd w:val="clear" w:color="auto" w:fill="auto"/>
          </w:tcPr>
          <w:p w14:paraId="6929521F" w14:textId="77777777" w:rsidR="007E16ED" w:rsidRDefault="007E16ED" w:rsidP="004A3011">
            <w:pPr>
              <w:pStyle w:val="ListParagraph"/>
              <w:numPr>
                <w:ilvl w:val="0"/>
                <w:numId w:val="25"/>
              </w:numPr>
              <w:ind w:left="315"/>
            </w:pPr>
            <w:r>
              <w:t>Policy:  I</w:t>
            </w:r>
            <w:r w:rsidRPr="000B3033">
              <w:t>mplement and monitor the Policy and Improvement Plan</w:t>
            </w:r>
            <w:r>
              <w:t>.</w:t>
            </w:r>
          </w:p>
          <w:p w14:paraId="69D26CC0" w14:textId="77777777" w:rsidR="00793749" w:rsidRPr="00793749" w:rsidRDefault="007E16ED" w:rsidP="004A3011">
            <w:pPr>
              <w:pStyle w:val="ListParagraph"/>
              <w:numPr>
                <w:ilvl w:val="0"/>
                <w:numId w:val="25"/>
              </w:numPr>
              <w:ind w:left="315"/>
              <w:rPr>
                <w:color w:val="auto"/>
              </w:rPr>
            </w:pPr>
            <w:r>
              <w:t xml:space="preserve">CRR:  </w:t>
            </w:r>
            <w:r w:rsidRPr="000B3033">
              <w:t xml:space="preserve">Assess and manage risks to delivering </w:t>
            </w:r>
            <w:r>
              <w:t xml:space="preserve">the </w:t>
            </w:r>
            <w:r w:rsidRPr="000B3033">
              <w:t>Council Plan</w:t>
            </w:r>
            <w:r>
              <w:t>.</w:t>
            </w:r>
          </w:p>
          <w:p w14:paraId="1A60DDF5" w14:textId="3C2587DB" w:rsidR="00E362EA" w:rsidRPr="00131A99" w:rsidRDefault="007E16ED" w:rsidP="00E362EA">
            <w:pPr>
              <w:pStyle w:val="ListParagraph"/>
              <w:numPr>
                <w:ilvl w:val="0"/>
                <w:numId w:val="25"/>
              </w:numPr>
              <w:ind w:left="315"/>
              <w:rPr>
                <w:color w:val="auto"/>
              </w:rPr>
            </w:pPr>
            <w:r>
              <w:t xml:space="preserve">Assurance:  Implement </w:t>
            </w:r>
            <w:r w:rsidRPr="000B3033">
              <w:t xml:space="preserve">effective </w:t>
            </w:r>
            <w:r>
              <w:t xml:space="preserve">risk </w:t>
            </w:r>
            <w:r w:rsidRPr="000B3033">
              <w:t xml:space="preserve">assurance </w:t>
            </w:r>
            <w:r>
              <w:t>and governance.</w:t>
            </w:r>
          </w:p>
        </w:tc>
      </w:tr>
      <w:tr w:rsidR="007E16ED" w:rsidRPr="008B76B9" w14:paraId="28BFD90E" w14:textId="77777777" w:rsidTr="007E16ED">
        <w:tc>
          <w:tcPr>
            <w:tcW w:w="1696" w:type="dxa"/>
            <w:shd w:val="clear" w:color="auto" w:fill="E61085"/>
          </w:tcPr>
          <w:p w14:paraId="6FE551C1" w14:textId="6E032AE4" w:rsidR="007E16ED" w:rsidRPr="00B16F50" w:rsidRDefault="007E16ED" w:rsidP="007E16ED">
            <w:pPr>
              <w:rPr>
                <w:color w:val="auto"/>
              </w:rPr>
            </w:pPr>
            <w:r w:rsidRPr="00B16F50">
              <w:rPr>
                <w:color w:val="auto"/>
                <w:szCs w:val="24"/>
              </w:rPr>
              <w:t>Service Risk Assurance</w:t>
            </w:r>
          </w:p>
        </w:tc>
        <w:tc>
          <w:tcPr>
            <w:tcW w:w="7938" w:type="dxa"/>
            <w:shd w:val="clear" w:color="auto" w:fill="auto"/>
          </w:tcPr>
          <w:p w14:paraId="1E4EDC68" w14:textId="77777777" w:rsidR="007E16ED" w:rsidRPr="007E16ED" w:rsidRDefault="007E16ED" w:rsidP="004A3011">
            <w:pPr>
              <w:pStyle w:val="ListParagraph"/>
              <w:numPr>
                <w:ilvl w:val="0"/>
                <w:numId w:val="25"/>
              </w:numPr>
              <w:ind w:left="315"/>
              <w:rPr>
                <w:color w:val="auto"/>
                <w:szCs w:val="24"/>
              </w:rPr>
            </w:pPr>
            <w:r>
              <w:t>Service Risk Assurance Statements: review quarterly and link to Plans.</w:t>
            </w:r>
          </w:p>
          <w:p w14:paraId="526A328F" w14:textId="77777777" w:rsidR="007E16ED" w:rsidRPr="007E16ED" w:rsidRDefault="007E16ED" w:rsidP="004A3011">
            <w:pPr>
              <w:pStyle w:val="ListParagraph"/>
              <w:numPr>
                <w:ilvl w:val="0"/>
                <w:numId w:val="25"/>
              </w:numPr>
              <w:ind w:left="315"/>
              <w:rPr>
                <w:szCs w:val="24"/>
              </w:rPr>
            </w:pPr>
            <w:r>
              <w:t xml:space="preserve">Risk Training: Staff receive relevant risk training and guidance. </w:t>
            </w:r>
            <w:r w:rsidRPr="007E16ED">
              <w:rPr>
                <w:szCs w:val="24"/>
              </w:rPr>
              <w:t xml:space="preserve">          </w:t>
            </w:r>
          </w:p>
          <w:p w14:paraId="41A31740" w14:textId="6857CC8B" w:rsidR="00E362EA" w:rsidRPr="007C4051" w:rsidRDefault="007E16ED" w:rsidP="00E362EA">
            <w:pPr>
              <w:pStyle w:val="ListParagraph"/>
              <w:numPr>
                <w:ilvl w:val="0"/>
                <w:numId w:val="25"/>
              </w:numPr>
              <w:ind w:left="315"/>
              <w:rPr>
                <w:color w:val="auto"/>
              </w:rPr>
            </w:pPr>
            <w:r w:rsidRPr="007E16ED">
              <w:rPr>
                <w:szCs w:val="24"/>
              </w:rPr>
              <w:t>Specialist Risk Registers or Assurance Statements are in place, as needed.</w:t>
            </w:r>
          </w:p>
        </w:tc>
      </w:tr>
      <w:bookmarkEnd w:id="5"/>
    </w:tbl>
    <w:p w14:paraId="043437D1" w14:textId="77777777" w:rsidR="008473E7" w:rsidRDefault="008473E7" w:rsidP="000B4BFD">
      <w:pPr>
        <w:ind w:right="-23"/>
      </w:pPr>
    </w:p>
    <w:p w14:paraId="0F15978E" w14:textId="3201A56E" w:rsidR="00D75C71" w:rsidRDefault="00D75C71" w:rsidP="000B4BFD">
      <w:pPr>
        <w:ind w:right="-23"/>
      </w:pPr>
      <w:r>
        <w:t>The Council use the following ratings to provide assurance on risk management arrangements:</w:t>
      </w:r>
    </w:p>
    <w:p w14:paraId="5C13CF45" w14:textId="77777777" w:rsidR="00D75C71" w:rsidRDefault="00D75C71" w:rsidP="000B4BFD">
      <w:pPr>
        <w:ind w:right="-23"/>
      </w:pPr>
    </w:p>
    <w:tbl>
      <w:tblPr>
        <w:tblStyle w:val="TableGrid"/>
        <w:tblW w:w="9639" w:type="dxa"/>
        <w:tblInd w:w="-5" w:type="dxa"/>
        <w:tblLook w:val="04A0" w:firstRow="1" w:lastRow="0" w:firstColumn="1" w:lastColumn="0" w:noHBand="0" w:noVBand="1"/>
      </w:tblPr>
      <w:tblGrid>
        <w:gridCol w:w="1701"/>
        <w:gridCol w:w="7938"/>
      </w:tblGrid>
      <w:tr w:rsidR="00D75C71" w:rsidRPr="003C2611" w14:paraId="155A11C5" w14:textId="77777777" w:rsidTr="00793749">
        <w:trPr>
          <w:trHeight w:val="122"/>
        </w:trPr>
        <w:tc>
          <w:tcPr>
            <w:tcW w:w="1701" w:type="dxa"/>
            <w:shd w:val="clear" w:color="auto" w:fill="00B0F0"/>
          </w:tcPr>
          <w:p w14:paraId="4B74ECAF" w14:textId="2FB6A71B" w:rsidR="00D75C71" w:rsidRPr="00E41B00" w:rsidRDefault="00D75C71" w:rsidP="00405484">
            <w:pPr>
              <w:rPr>
                <w:b/>
                <w:bCs/>
                <w:color w:val="3B3838" w:themeColor="background2" w:themeShade="40"/>
              </w:rPr>
            </w:pPr>
            <w:r w:rsidRPr="00E41B00">
              <w:rPr>
                <w:b/>
                <w:bCs/>
                <w:color w:val="3B3838" w:themeColor="background2" w:themeShade="40"/>
              </w:rPr>
              <w:t xml:space="preserve">Assurance </w:t>
            </w:r>
          </w:p>
        </w:tc>
        <w:tc>
          <w:tcPr>
            <w:tcW w:w="7938" w:type="dxa"/>
            <w:shd w:val="clear" w:color="auto" w:fill="00B0F0"/>
          </w:tcPr>
          <w:p w14:paraId="6CF886D9" w14:textId="69F23F19" w:rsidR="00D75C71" w:rsidRPr="00E41B00" w:rsidRDefault="00793749" w:rsidP="008E36CE">
            <w:pPr>
              <w:rPr>
                <w:b/>
                <w:bCs/>
                <w:color w:val="3B3838" w:themeColor="background2" w:themeShade="40"/>
              </w:rPr>
            </w:pPr>
            <w:r w:rsidRPr="00E41B00">
              <w:rPr>
                <w:b/>
                <w:bCs/>
                <w:color w:val="3B3838" w:themeColor="background2" w:themeShade="40"/>
              </w:rPr>
              <w:t>Description</w:t>
            </w:r>
          </w:p>
        </w:tc>
      </w:tr>
      <w:tr w:rsidR="00D75C71" w:rsidRPr="007E16ED" w14:paraId="1B77606B" w14:textId="77777777" w:rsidTr="00793749">
        <w:tc>
          <w:tcPr>
            <w:tcW w:w="1701" w:type="dxa"/>
            <w:shd w:val="clear" w:color="auto" w:fill="00B050"/>
          </w:tcPr>
          <w:p w14:paraId="3B686B70" w14:textId="2361B048" w:rsidR="00D75C71" w:rsidRPr="00B16F50" w:rsidRDefault="00D75C71" w:rsidP="00405484">
            <w:pPr>
              <w:rPr>
                <w:color w:val="171717" w:themeColor="background2" w:themeShade="1A"/>
              </w:rPr>
            </w:pPr>
            <w:r w:rsidRPr="00B16F50">
              <w:rPr>
                <w:color w:val="171717" w:themeColor="background2" w:themeShade="1A"/>
              </w:rPr>
              <w:t>Substantial</w:t>
            </w:r>
          </w:p>
        </w:tc>
        <w:tc>
          <w:tcPr>
            <w:tcW w:w="7938" w:type="dxa"/>
            <w:shd w:val="clear" w:color="auto" w:fill="auto"/>
          </w:tcPr>
          <w:p w14:paraId="6B2592A3" w14:textId="3A230A21" w:rsidR="00D75C71" w:rsidRPr="00D75C71" w:rsidRDefault="00793749" w:rsidP="00D75C71">
            <w:pPr>
              <w:rPr>
                <w:color w:val="auto"/>
              </w:rPr>
            </w:pPr>
            <w:r>
              <w:t>Controls are effective and / or measurable action plan is on track.</w:t>
            </w:r>
          </w:p>
        </w:tc>
      </w:tr>
      <w:tr w:rsidR="00793749" w:rsidRPr="007E16ED" w14:paraId="55E693C5" w14:textId="77777777" w:rsidTr="00793749">
        <w:tc>
          <w:tcPr>
            <w:tcW w:w="1701" w:type="dxa"/>
            <w:shd w:val="clear" w:color="auto" w:fill="FFC000"/>
          </w:tcPr>
          <w:p w14:paraId="4DBA9D3F" w14:textId="3EBDFF61" w:rsidR="00793749" w:rsidRPr="00B16F50" w:rsidRDefault="00793749" w:rsidP="00793749">
            <w:pPr>
              <w:rPr>
                <w:color w:val="44546A" w:themeColor="text2"/>
              </w:rPr>
            </w:pPr>
            <w:r w:rsidRPr="00B16F50">
              <w:rPr>
                <w:color w:val="44546A" w:themeColor="text2"/>
              </w:rPr>
              <w:t xml:space="preserve">Limited                </w:t>
            </w:r>
          </w:p>
        </w:tc>
        <w:tc>
          <w:tcPr>
            <w:tcW w:w="7938" w:type="dxa"/>
            <w:shd w:val="clear" w:color="auto" w:fill="auto"/>
          </w:tcPr>
          <w:p w14:paraId="317AFA71" w14:textId="2A577BD3" w:rsidR="00793749" w:rsidRPr="00865010" w:rsidRDefault="00793749" w:rsidP="00793749">
            <w:pPr>
              <w:rPr>
                <w:color w:val="auto"/>
              </w:rPr>
            </w:pPr>
            <w:r>
              <w:t>Some weaknesses in controls and / or actions are overdue or not measurable</w:t>
            </w:r>
            <w:r w:rsidR="000B0DAB">
              <w:t>.</w:t>
            </w:r>
          </w:p>
        </w:tc>
      </w:tr>
      <w:tr w:rsidR="00793749" w:rsidRPr="008B76B9" w14:paraId="42BA92C9" w14:textId="77777777" w:rsidTr="00793749">
        <w:tc>
          <w:tcPr>
            <w:tcW w:w="1701" w:type="dxa"/>
            <w:shd w:val="clear" w:color="auto" w:fill="FF0000"/>
          </w:tcPr>
          <w:p w14:paraId="09BFDACA" w14:textId="19FDA264" w:rsidR="00793749" w:rsidRPr="00B16F50" w:rsidRDefault="00793749" w:rsidP="00793749">
            <w:pPr>
              <w:rPr>
                <w:color w:val="000000" w:themeColor="text1"/>
              </w:rPr>
            </w:pPr>
            <w:r w:rsidRPr="00B16F50">
              <w:rPr>
                <w:color w:val="000000" w:themeColor="text1"/>
                <w:szCs w:val="24"/>
              </w:rPr>
              <w:t>None</w:t>
            </w:r>
          </w:p>
        </w:tc>
        <w:tc>
          <w:tcPr>
            <w:tcW w:w="7938" w:type="dxa"/>
            <w:shd w:val="clear" w:color="auto" w:fill="auto"/>
          </w:tcPr>
          <w:p w14:paraId="4D4A9ECA" w14:textId="1AA7F69D" w:rsidR="00793749" w:rsidRPr="00D75C71" w:rsidRDefault="00793749" w:rsidP="00793749">
            <w:pPr>
              <w:ind w:right="-121"/>
              <w:rPr>
                <w:color w:val="auto"/>
              </w:rPr>
            </w:pPr>
            <w:r>
              <w:t>Controls not effective.  There are significant weaknesses and / or actions.</w:t>
            </w:r>
          </w:p>
        </w:tc>
      </w:tr>
      <w:tr w:rsidR="00793749" w:rsidRPr="008B76B9" w14:paraId="3D19ECCA" w14:textId="77777777" w:rsidTr="00793749">
        <w:tc>
          <w:tcPr>
            <w:tcW w:w="1701" w:type="dxa"/>
            <w:shd w:val="clear" w:color="auto" w:fill="4472C4" w:themeFill="accent1"/>
          </w:tcPr>
          <w:p w14:paraId="1FCF0569" w14:textId="011DD975" w:rsidR="00793749" w:rsidRPr="001A6B83" w:rsidRDefault="00793749" w:rsidP="00793749">
            <w:pPr>
              <w:rPr>
                <w:color w:val="FFFFFF" w:themeColor="background1"/>
                <w:szCs w:val="24"/>
              </w:rPr>
            </w:pPr>
            <w:r w:rsidRPr="001A6B83">
              <w:rPr>
                <w:color w:val="FFFFFF" w:themeColor="background1"/>
                <w:szCs w:val="24"/>
              </w:rPr>
              <w:t>Needs Review</w:t>
            </w:r>
          </w:p>
        </w:tc>
        <w:tc>
          <w:tcPr>
            <w:tcW w:w="7938" w:type="dxa"/>
            <w:shd w:val="clear" w:color="auto" w:fill="auto"/>
          </w:tcPr>
          <w:p w14:paraId="640F6170" w14:textId="0E7FA055" w:rsidR="00793749" w:rsidRDefault="00793749" w:rsidP="00793749">
            <w:pPr>
              <w:ind w:right="-121"/>
            </w:pPr>
            <w:r>
              <w:t xml:space="preserve">Controls need review and / or </w:t>
            </w:r>
            <w:r w:rsidR="000B0DAB">
              <w:t>m</w:t>
            </w:r>
            <w:r>
              <w:t xml:space="preserve">easurable </w:t>
            </w:r>
            <w:r w:rsidR="000B0DAB">
              <w:t>a</w:t>
            </w:r>
            <w:r>
              <w:t xml:space="preserve">ction </w:t>
            </w:r>
            <w:r w:rsidR="000B0DAB">
              <w:t>p</w:t>
            </w:r>
            <w:r>
              <w:t xml:space="preserve">lan </w:t>
            </w:r>
            <w:r w:rsidR="000B0DAB">
              <w:t xml:space="preserve">is </w:t>
            </w:r>
            <w:r>
              <w:t>required.</w:t>
            </w:r>
          </w:p>
        </w:tc>
      </w:tr>
    </w:tbl>
    <w:p w14:paraId="533D2262" w14:textId="77777777" w:rsidR="00D75C71" w:rsidRDefault="00D75C71" w:rsidP="000B4BFD">
      <w:pPr>
        <w:ind w:right="-23"/>
      </w:pPr>
    </w:p>
    <w:p w14:paraId="56FD3EA0" w14:textId="71E2EAF2" w:rsidR="001343DF" w:rsidRDefault="00850C44" w:rsidP="000B4BFD">
      <w:pPr>
        <w:ind w:right="-23"/>
      </w:pPr>
      <w:r>
        <w:t xml:space="preserve">The </w:t>
      </w:r>
      <w:r w:rsidR="000B3033">
        <w:t xml:space="preserve">Corporate Management Team (CMT) can </w:t>
      </w:r>
      <w:r w:rsidR="000B4BFD">
        <w:t xml:space="preserve">provide </w:t>
      </w:r>
      <w:r w:rsidR="000B4BFD" w:rsidRPr="00E463FF">
        <w:rPr>
          <w:b/>
          <w:bCs/>
        </w:rPr>
        <w:t xml:space="preserve">Substantial Assurance </w:t>
      </w:r>
      <w:r w:rsidR="000B4BFD" w:rsidRPr="00335824">
        <w:t>on the effectiveness of Risk Management arrangements</w:t>
      </w:r>
      <w:r w:rsidR="000B4BFD">
        <w:t xml:space="preserve"> </w:t>
      </w:r>
      <w:r w:rsidR="008473E7">
        <w:t xml:space="preserve">from April 2023 to September </w:t>
      </w:r>
      <w:r w:rsidR="000B4BFD">
        <w:t>2024</w:t>
      </w:r>
      <w:r w:rsidR="008473E7">
        <w:t xml:space="preserve">.  </w:t>
      </w:r>
      <w:r w:rsidR="0095699C">
        <w:t>This opinion is</w:t>
      </w:r>
      <w:r w:rsidR="001343DF">
        <w:t xml:space="preserve"> </w:t>
      </w:r>
      <w:r>
        <w:t>based on:</w:t>
      </w:r>
    </w:p>
    <w:p w14:paraId="48DBC67C" w14:textId="77777777" w:rsidR="000B4BFD" w:rsidRDefault="000B4BFD" w:rsidP="000B4BFD">
      <w:pPr>
        <w:ind w:right="402"/>
      </w:pPr>
    </w:p>
    <w:p w14:paraId="2AF0C7E3" w14:textId="6ED97171" w:rsidR="008473E7" w:rsidRDefault="008473E7">
      <w:pPr>
        <w:pStyle w:val="ListParagraph"/>
        <w:numPr>
          <w:ilvl w:val="0"/>
          <w:numId w:val="31"/>
        </w:numPr>
        <w:rPr>
          <w:szCs w:val="24"/>
        </w:rPr>
      </w:pPr>
      <w:r>
        <w:rPr>
          <w:szCs w:val="24"/>
        </w:rPr>
        <w:t xml:space="preserve">Services’ </w:t>
      </w:r>
      <w:hyperlink r:id="rId17" w:history="1">
        <w:r w:rsidR="008E467A" w:rsidRPr="008473E7">
          <w:rPr>
            <w:rStyle w:val="Hyperlink"/>
            <w:szCs w:val="24"/>
          </w:rPr>
          <w:t>most recent CRR</w:t>
        </w:r>
        <w:r w:rsidRPr="008473E7">
          <w:rPr>
            <w:rStyle w:val="Hyperlink"/>
            <w:szCs w:val="24"/>
          </w:rPr>
          <w:t xml:space="preserve"> updates</w:t>
        </w:r>
      </w:hyperlink>
      <w:r>
        <w:rPr>
          <w:szCs w:val="24"/>
        </w:rPr>
        <w:t xml:space="preserve"> </w:t>
      </w:r>
      <w:r w:rsidR="008E467A">
        <w:rPr>
          <w:szCs w:val="24"/>
        </w:rPr>
        <w:t xml:space="preserve">(reviewed by CMT in October 2024); </w:t>
      </w:r>
    </w:p>
    <w:p w14:paraId="29209427" w14:textId="77777777" w:rsidR="002270B8" w:rsidRPr="002270B8" w:rsidRDefault="002270B8" w:rsidP="007C4051">
      <w:pPr>
        <w:ind w:left="360"/>
        <w:rPr>
          <w:szCs w:val="24"/>
        </w:rPr>
      </w:pPr>
    </w:p>
    <w:p w14:paraId="408E1F02" w14:textId="00AC1765" w:rsidR="000B0DAB" w:rsidRDefault="002270B8">
      <w:pPr>
        <w:pStyle w:val="ListParagraph"/>
        <w:numPr>
          <w:ilvl w:val="0"/>
          <w:numId w:val="31"/>
        </w:numPr>
        <w:rPr>
          <w:szCs w:val="24"/>
        </w:rPr>
      </w:pPr>
      <w:r w:rsidRPr="000B0DAB">
        <w:rPr>
          <w:szCs w:val="24"/>
        </w:rPr>
        <w:t xml:space="preserve">The </w:t>
      </w:r>
      <w:hyperlink r:id="rId18" w:history="1">
        <w:r w:rsidRPr="00850C44">
          <w:rPr>
            <w:rStyle w:val="Hyperlink"/>
          </w:rPr>
          <w:t>CRM update to the Executive in June 2024</w:t>
        </w:r>
      </w:hyperlink>
      <w:r>
        <w:t xml:space="preserve"> which showed significant progress on the Improvement Plan, and confirmed that all actions will be completed by March 2025;</w:t>
      </w:r>
    </w:p>
    <w:p w14:paraId="2A64271A" w14:textId="77777777" w:rsidR="000B0DAB" w:rsidRPr="000B0DAB" w:rsidRDefault="000B0DAB" w:rsidP="007C4051">
      <w:pPr>
        <w:pStyle w:val="ListParagraph"/>
      </w:pPr>
    </w:p>
    <w:p w14:paraId="16AE1F2F" w14:textId="28567CE6" w:rsidR="008E467A" w:rsidRDefault="000B4BFD" w:rsidP="007C4051">
      <w:pPr>
        <w:pStyle w:val="ListParagraph"/>
        <w:numPr>
          <w:ilvl w:val="0"/>
          <w:numId w:val="31"/>
        </w:numPr>
      </w:pPr>
      <w:r>
        <w:t xml:space="preserve">the outcomes of an internal audit </w:t>
      </w:r>
      <w:r w:rsidR="0095699C">
        <w:t xml:space="preserve">report </w:t>
      </w:r>
      <w:r>
        <w:t xml:space="preserve">on Risk Management </w:t>
      </w:r>
      <w:r w:rsidR="0095699C">
        <w:t>A</w:t>
      </w:r>
      <w:r>
        <w:t xml:space="preserve">rrangements by West Lothian Council in 2022/23 </w:t>
      </w:r>
      <w:r w:rsidR="0095699C">
        <w:t xml:space="preserve">which </w:t>
      </w:r>
      <w:r>
        <w:t xml:space="preserve">provided </w:t>
      </w:r>
      <w:r w:rsidR="008E467A">
        <w:t>“</w:t>
      </w:r>
      <w:r w:rsidR="00A16F91">
        <w:t xml:space="preserve">Satisfactory </w:t>
      </w:r>
      <w:r>
        <w:t>Assurance</w:t>
      </w:r>
      <w:r w:rsidR="008E467A">
        <w:t>” (defined as “</w:t>
      </w:r>
      <w:r w:rsidR="008E467A" w:rsidRPr="00A16F91">
        <w:t>No findings ranked as ‘High’ importance however there are a moderate number of ‘Low’ and ‘Medium’ ranked findings</w:t>
      </w:r>
      <w:r w:rsidR="008E467A">
        <w:t xml:space="preserve">; and most of these findings have been </w:t>
      </w:r>
      <w:r w:rsidR="00531012">
        <w:t>implemented (or substantially progressed</w:t>
      </w:r>
      <w:proofErr w:type="gramStart"/>
      <w:r w:rsidR="00531012">
        <w:t>)</w:t>
      </w:r>
      <w:r>
        <w:t>;</w:t>
      </w:r>
      <w:proofErr w:type="gramEnd"/>
      <w:r>
        <w:t xml:space="preserve"> </w:t>
      </w:r>
    </w:p>
    <w:p w14:paraId="5011C04D" w14:textId="77777777" w:rsidR="008E467A" w:rsidRPr="00BA4FE1" w:rsidRDefault="008E467A" w:rsidP="007C4051">
      <w:pPr>
        <w:ind w:left="720"/>
        <w:rPr>
          <w:szCs w:val="24"/>
        </w:rPr>
      </w:pPr>
    </w:p>
    <w:p w14:paraId="1A471465" w14:textId="19025D79" w:rsidR="000B4BFD" w:rsidRPr="008473E7" w:rsidRDefault="000B4BFD" w:rsidP="007C4051">
      <w:pPr>
        <w:pStyle w:val="ListParagraph"/>
        <w:numPr>
          <w:ilvl w:val="0"/>
          <w:numId w:val="30"/>
        </w:numPr>
        <w:rPr>
          <w:szCs w:val="24"/>
        </w:rPr>
      </w:pPr>
      <w:r w:rsidRPr="008473E7">
        <w:rPr>
          <w:szCs w:val="24"/>
        </w:rPr>
        <w:t xml:space="preserve">the </w:t>
      </w:r>
      <w:hyperlink r:id="rId19" w:history="1">
        <w:r w:rsidR="00850C44" w:rsidRPr="00850C44">
          <w:rPr>
            <w:rStyle w:val="Hyperlink"/>
          </w:rPr>
          <w:t>A</w:t>
        </w:r>
        <w:r w:rsidR="00D75C71">
          <w:rPr>
            <w:rStyle w:val="Hyperlink"/>
          </w:rPr>
          <w:t>nnual Governance Statement (A</w:t>
        </w:r>
        <w:r w:rsidR="00850C44" w:rsidRPr="00850C44">
          <w:rPr>
            <w:rStyle w:val="Hyperlink"/>
          </w:rPr>
          <w:t>GS</w:t>
        </w:r>
        <w:r w:rsidR="00D75C71">
          <w:rPr>
            <w:rStyle w:val="Hyperlink"/>
          </w:rPr>
          <w:t>)</w:t>
        </w:r>
        <w:r w:rsidR="00850C44" w:rsidRPr="008473E7">
          <w:rPr>
            <w:rStyle w:val="Hyperlink"/>
            <w:szCs w:val="24"/>
          </w:rPr>
          <w:t xml:space="preserve"> (</w:t>
        </w:r>
        <w:r w:rsidR="008E467A" w:rsidRPr="008473E7">
          <w:rPr>
            <w:rStyle w:val="Hyperlink"/>
            <w:szCs w:val="24"/>
          </w:rPr>
          <w:t xml:space="preserve">signed by the Leader and Chief Executive, </w:t>
        </w:r>
        <w:r w:rsidR="00850C44" w:rsidRPr="008473E7">
          <w:rPr>
            <w:rStyle w:val="Hyperlink"/>
            <w:szCs w:val="24"/>
          </w:rPr>
          <w:t>within the 2023/24 Annual Accounts)</w:t>
        </w:r>
      </w:hyperlink>
      <w:r w:rsidR="008E467A" w:rsidRPr="008473E7">
        <w:rPr>
          <w:rStyle w:val="Hyperlink"/>
          <w:szCs w:val="24"/>
        </w:rPr>
        <w:t xml:space="preserve">, </w:t>
      </w:r>
      <w:r w:rsidR="0095699C" w:rsidRPr="008473E7">
        <w:rPr>
          <w:szCs w:val="24"/>
        </w:rPr>
        <w:t xml:space="preserve">which </w:t>
      </w:r>
      <w:r w:rsidRPr="008473E7">
        <w:rPr>
          <w:szCs w:val="24"/>
        </w:rPr>
        <w:t>include</w:t>
      </w:r>
      <w:r w:rsidR="0095699C" w:rsidRPr="008473E7">
        <w:rPr>
          <w:szCs w:val="24"/>
        </w:rPr>
        <w:t>d</w:t>
      </w:r>
      <w:r w:rsidRPr="008473E7">
        <w:rPr>
          <w:szCs w:val="24"/>
        </w:rPr>
        <w:t xml:space="preserve"> the following assurance opinion from the Chief Executive and Leader of the Council:</w:t>
      </w:r>
    </w:p>
    <w:p w14:paraId="33E624E2" w14:textId="77777777" w:rsidR="000B4BFD" w:rsidRDefault="000B4BFD" w:rsidP="000B4BFD">
      <w:pPr>
        <w:ind w:right="402"/>
        <w:rPr>
          <w:color w:val="FF0000"/>
          <w:szCs w:val="24"/>
        </w:rPr>
      </w:pPr>
    </w:p>
    <w:p w14:paraId="59F28C42" w14:textId="5B2F750E" w:rsidR="000B4BFD" w:rsidRDefault="004B661E" w:rsidP="004B661E">
      <w:pPr>
        <w:ind w:left="709" w:right="969"/>
        <w:rPr>
          <w:rStyle w:val="normaltextrun"/>
          <w:szCs w:val="24"/>
        </w:rPr>
      </w:pPr>
      <w:r>
        <w:t>“This Statement is an objective appraisal of our governance framework and demonstrates that largely satisfactory risk, control, and governance systems are in place within Falkirk Council.  This Statement also demonstrates that we have met our legal and statutory obligations to our residents, and we are committed to completing the actions identified in 2023/24.”</w:t>
      </w:r>
    </w:p>
    <w:p w14:paraId="74AAE40D" w14:textId="77777777" w:rsidR="00D1274E" w:rsidRDefault="00D1274E" w:rsidP="00D1274E">
      <w:pPr>
        <w:ind w:right="261"/>
        <w:contextualSpacing/>
        <w:jc w:val="both"/>
      </w:pPr>
    </w:p>
    <w:p w14:paraId="1AB79E6E" w14:textId="77777777" w:rsidR="008473E7" w:rsidRDefault="008473E7" w:rsidP="00D1274E">
      <w:pPr>
        <w:ind w:right="261"/>
        <w:contextualSpacing/>
        <w:jc w:val="both"/>
      </w:pPr>
    </w:p>
    <w:p w14:paraId="2B121BCB" w14:textId="77777777" w:rsidR="008473E7" w:rsidRDefault="008473E7" w:rsidP="00D1274E">
      <w:pPr>
        <w:ind w:right="261"/>
        <w:contextualSpacing/>
        <w:jc w:val="both"/>
      </w:pPr>
    </w:p>
    <w:p w14:paraId="591B94C3" w14:textId="190EC1FF" w:rsidR="007C4051" w:rsidRPr="00B16F50" w:rsidRDefault="007C4051" w:rsidP="007C4051">
      <w:pPr>
        <w:rPr>
          <w:rFonts w:eastAsia="Arial"/>
          <w:b/>
          <w:bCs/>
          <w:color w:val="auto"/>
          <w:szCs w:val="24"/>
        </w:rPr>
      </w:pPr>
    </w:p>
    <w:tbl>
      <w:tblPr>
        <w:tblStyle w:val="TableGrid"/>
        <w:tblW w:w="0" w:type="auto"/>
        <w:tblLook w:val="04A0" w:firstRow="1" w:lastRow="0" w:firstColumn="1" w:lastColumn="0" w:noHBand="0" w:noVBand="1"/>
      </w:tblPr>
      <w:tblGrid>
        <w:gridCol w:w="9890"/>
      </w:tblGrid>
      <w:tr w:rsidR="007C4051" w14:paraId="4547AEF4" w14:textId="77777777" w:rsidTr="007C4051">
        <w:tc>
          <w:tcPr>
            <w:tcW w:w="9890" w:type="dxa"/>
            <w:shd w:val="clear" w:color="auto" w:fill="0070C0"/>
          </w:tcPr>
          <w:p w14:paraId="1272482D" w14:textId="2E2DCF81" w:rsidR="007C4051" w:rsidRPr="007C4051" w:rsidRDefault="007C4051" w:rsidP="004B2569">
            <w:pPr>
              <w:pStyle w:val="Heading2"/>
              <w:rPr>
                <w:sz w:val="28"/>
                <w:szCs w:val="28"/>
              </w:rPr>
            </w:pPr>
            <w:r w:rsidRPr="007C4051">
              <w:rPr>
                <w:color w:val="FFFFFF" w:themeColor="background1"/>
                <w:sz w:val="28"/>
                <w:szCs w:val="28"/>
              </w:rPr>
              <w:lastRenderedPageBreak/>
              <w:t>Corporate Risk Priorities</w:t>
            </w:r>
          </w:p>
        </w:tc>
      </w:tr>
    </w:tbl>
    <w:p w14:paraId="49296F2E" w14:textId="77777777" w:rsidR="007C4051" w:rsidRPr="00E41B00" w:rsidRDefault="007C4051" w:rsidP="004B2569">
      <w:pPr>
        <w:pStyle w:val="Heading2"/>
        <w:rPr>
          <w:color w:val="004E9A"/>
        </w:rPr>
      </w:pPr>
    </w:p>
    <w:p w14:paraId="3D08AAF4" w14:textId="39A1CB58" w:rsidR="005011FC" w:rsidRPr="00E41B00" w:rsidRDefault="0024167D" w:rsidP="004B2569">
      <w:pPr>
        <w:pStyle w:val="Heading2"/>
        <w:rPr>
          <w:color w:val="004E9A"/>
        </w:rPr>
      </w:pPr>
      <w:bookmarkStart w:id="7" w:name="_Toc177571546"/>
      <w:r w:rsidRPr="00E41B00">
        <w:rPr>
          <w:color w:val="004E9A"/>
        </w:rPr>
        <w:t xml:space="preserve">Action </w:t>
      </w:r>
      <w:r w:rsidR="009F1FEE" w:rsidRPr="00E41B00">
        <w:rPr>
          <w:color w:val="004E9A"/>
        </w:rPr>
        <w:t xml:space="preserve">1:  </w:t>
      </w:r>
      <w:r w:rsidR="001067F4" w:rsidRPr="00E41B00">
        <w:rPr>
          <w:color w:val="004E9A"/>
        </w:rPr>
        <w:t>Policy</w:t>
      </w:r>
      <w:r w:rsidR="00DB4264" w:rsidRPr="00E41B00">
        <w:rPr>
          <w:color w:val="004E9A"/>
        </w:rPr>
        <w:t xml:space="preserve"> </w:t>
      </w:r>
      <w:r w:rsidR="008B61FE" w:rsidRPr="00E41B00">
        <w:rPr>
          <w:color w:val="004E9A"/>
        </w:rPr>
        <w:t>and Improvement Plan</w:t>
      </w:r>
      <w:bookmarkEnd w:id="7"/>
    </w:p>
    <w:p w14:paraId="61D73103" w14:textId="77777777" w:rsidR="009F1FEE" w:rsidRDefault="009F1FEE" w:rsidP="00F4526B">
      <w:pPr>
        <w:rPr>
          <w:rStyle w:val="normaltextrun"/>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1"/>
      </w:tblGrid>
      <w:tr w:rsidR="00131D8C" w:rsidRPr="00131D8C" w14:paraId="3C6AAC75" w14:textId="77777777" w:rsidTr="001258A0">
        <w:trPr>
          <w:trHeight w:val="116"/>
        </w:trPr>
        <w:tc>
          <w:tcPr>
            <w:tcW w:w="9781" w:type="dxa"/>
            <w:shd w:val="clear" w:color="auto" w:fill="0070C0"/>
            <w:tcMar>
              <w:top w:w="0" w:type="dxa"/>
              <w:left w:w="108" w:type="dxa"/>
              <w:bottom w:w="0" w:type="dxa"/>
              <w:right w:w="108" w:type="dxa"/>
            </w:tcMar>
          </w:tcPr>
          <w:p w14:paraId="59A224CD" w14:textId="0484E9C9" w:rsidR="00131D8C" w:rsidRPr="00131A99" w:rsidRDefault="0024167D" w:rsidP="00FE36AE">
            <w:pPr>
              <w:rPr>
                <w:rFonts w:eastAsia="Arial"/>
                <w:b/>
                <w:bCs/>
                <w:color w:val="FFFFFF" w:themeColor="background1"/>
                <w:szCs w:val="24"/>
              </w:rPr>
            </w:pPr>
            <w:r>
              <w:rPr>
                <w:b/>
                <w:bCs/>
                <w:color w:val="FFFFFF" w:themeColor="background1"/>
              </w:rPr>
              <w:t>This action includes:</w:t>
            </w:r>
          </w:p>
        </w:tc>
      </w:tr>
    </w:tbl>
    <w:p w14:paraId="0EA8DE07" w14:textId="77777777" w:rsidR="00131D8C" w:rsidRDefault="00131D8C" w:rsidP="00F4526B">
      <w:pPr>
        <w:rPr>
          <w:rStyle w:val="normaltextrun"/>
          <w:szCs w:val="24"/>
        </w:rPr>
      </w:pPr>
    </w:p>
    <w:p w14:paraId="110A06FF" w14:textId="2F7FB2A6" w:rsidR="001258A0" w:rsidRDefault="00957564" w:rsidP="007C4051">
      <w:pPr>
        <w:pStyle w:val="ListParagraph"/>
        <w:numPr>
          <w:ilvl w:val="0"/>
          <w:numId w:val="30"/>
        </w:numPr>
        <w:ind w:left="426" w:right="-306" w:hanging="426"/>
        <w:rPr>
          <w:rFonts w:eastAsia="Arial"/>
          <w:szCs w:val="24"/>
        </w:rPr>
      </w:pPr>
      <w:r>
        <w:rPr>
          <w:rFonts w:eastAsia="Arial"/>
          <w:szCs w:val="24"/>
        </w:rPr>
        <w:t xml:space="preserve">The </w:t>
      </w:r>
      <w:r w:rsidR="001258A0" w:rsidRPr="00131D8C">
        <w:rPr>
          <w:rFonts w:eastAsia="Arial"/>
          <w:szCs w:val="24"/>
        </w:rPr>
        <w:t xml:space="preserve">Policy will be reviewed </w:t>
      </w:r>
      <w:r w:rsidR="00B06DEC">
        <w:rPr>
          <w:rFonts w:eastAsia="Arial"/>
          <w:szCs w:val="24"/>
        </w:rPr>
        <w:t>three</w:t>
      </w:r>
      <w:r w:rsidR="001258A0" w:rsidRPr="00131D8C">
        <w:rPr>
          <w:rFonts w:eastAsia="Arial"/>
          <w:szCs w:val="24"/>
        </w:rPr>
        <w:t xml:space="preserve"> yearly and is supported by guidance and </w:t>
      </w:r>
      <w:proofErr w:type="gramStart"/>
      <w:r w:rsidR="001258A0" w:rsidRPr="00131D8C">
        <w:rPr>
          <w:rFonts w:eastAsia="Arial"/>
          <w:szCs w:val="24"/>
        </w:rPr>
        <w:t>training</w:t>
      </w:r>
      <w:r w:rsidR="008B61FE">
        <w:rPr>
          <w:rFonts w:eastAsia="Arial"/>
          <w:szCs w:val="24"/>
        </w:rPr>
        <w:t>;</w:t>
      </w:r>
      <w:proofErr w:type="gramEnd"/>
    </w:p>
    <w:p w14:paraId="3F5C9675" w14:textId="45180450" w:rsidR="008B61FE" w:rsidRDefault="001258A0" w:rsidP="007C4051">
      <w:pPr>
        <w:pStyle w:val="ListParagraph"/>
        <w:numPr>
          <w:ilvl w:val="0"/>
          <w:numId w:val="30"/>
        </w:numPr>
        <w:ind w:left="426" w:right="-306" w:hanging="426"/>
        <w:rPr>
          <w:rFonts w:eastAsia="Arial"/>
          <w:szCs w:val="24"/>
        </w:rPr>
      </w:pPr>
      <w:r w:rsidRPr="001258A0">
        <w:rPr>
          <w:rFonts w:eastAsia="Arial"/>
          <w:szCs w:val="24"/>
        </w:rPr>
        <w:t>Guidance and Templates are provided to ensure risks are assessed and reported consistently</w:t>
      </w:r>
      <w:r w:rsidR="008B61FE">
        <w:rPr>
          <w:rFonts w:eastAsia="Arial"/>
          <w:szCs w:val="24"/>
        </w:rPr>
        <w:t>; and</w:t>
      </w:r>
    </w:p>
    <w:p w14:paraId="4F68C2DF" w14:textId="0915744C" w:rsidR="00E463FF" w:rsidRPr="008B61FE" w:rsidRDefault="0024167D" w:rsidP="007C4051">
      <w:pPr>
        <w:pStyle w:val="ListParagraph"/>
        <w:numPr>
          <w:ilvl w:val="0"/>
          <w:numId w:val="30"/>
        </w:numPr>
        <w:ind w:left="426" w:right="-306" w:hanging="426"/>
        <w:rPr>
          <w:rStyle w:val="normaltextrun"/>
          <w:rFonts w:eastAsia="Arial"/>
          <w:szCs w:val="24"/>
        </w:rPr>
      </w:pPr>
      <w:r>
        <w:rPr>
          <w:rFonts w:eastAsia="Arial"/>
          <w:bCs/>
          <w:szCs w:val="24"/>
        </w:rPr>
        <w:t>C</w:t>
      </w:r>
      <w:r w:rsidR="00E463FF" w:rsidRPr="008B61FE">
        <w:rPr>
          <w:rFonts w:eastAsia="Arial"/>
          <w:bCs/>
          <w:szCs w:val="24"/>
        </w:rPr>
        <w:t xml:space="preserve">ontinuous reviews of the </w:t>
      </w:r>
      <w:r w:rsidR="00660744">
        <w:rPr>
          <w:rFonts w:eastAsia="Arial"/>
          <w:bCs/>
          <w:szCs w:val="24"/>
        </w:rPr>
        <w:t>Policy</w:t>
      </w:r>
      <w:r>
        <w:rPr>
          <w:rFonts w:eastAsia="Arial"/>
          <w:bCs/>
          <w:szCs w:val="24"/>
        </w:rPr>
        <w:t xml:space="preserve"> (or </w:t>
      </w:r>
      <w:r w:rsidRPr="008B61FE">
        <w:rPr>
          <w:rFonts w:eastAsia="Arial"/>
          <w:bCs/>
          <w:szCs w:val="24"/>
        </w:rPr>
        <w:t>Risk Maturity</w:t>
      </w:r>
      <w:r>
        <w:rPr>
          <w:rFonts w:eastAsia="Arial"/>
          <w:bCs/>
          <w:szCs w:val="24"/>
        </w:rPr>
        <w:t xml:space="preserve">), including </w:t>
      </w:r>
      <w:r w:rsidR="008B61FE">
        <w:rPr>
          <w:rFonts w:eastAsia="Arial"/>
          <w:bCs/>
          <w:szCs w:val="24"/>
        </w:rPr>
        <w:t>audits and self-assessments.</w:t>
      </w:r>
    </w:p>
    <w:p w14:paraId="76C41AA6" w14:textId="77777777" w:rsidR="00E463FF" w:rsidRDefault="00E463FF" w:rsidP="00F4526B">
      <w:pPr>
        <w:rPr>
          <w:rStyle w:val="normaltextrun"/>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1"/>
      </w:tblGrid>
      <w:tr w:rsidR="001258A0" w:rsidRPr="00131D8C" w14:paraId="7046D24E" w14:textId="77777777" w:rsidTr="001258A0">
        <w:trPr>
          <w:trHeight w:val="174"/>
        </w:trPr>
        <w:tc>
          <w:tcPr>
            <w:tcW w:w="9781" w:type="dxa"/>
            <w:shd w:val="clear" w:color="auto" w:fill="0070C0"/>
            <w:tcMar>
              <w:top w:w="0" w:type="dxa"/>
              <w:left w:w="108" w:type="dxa"/>
              <w:bottom w:w="0" w:type="dxa"/>
              <w:right w:w="108" w:type="dxa"/>
            </w:tcMar>
          </w:tcPr>
          <w:p w14:paraId="1C5126B6" w14:textId="6ED30603" w:rsidR="001258A0" w:rsidRPr="001258A0" w:rsidRDefault="003C34B9" w:rsidP="00FE36AE">
            <w:pPr>
              <w:rPr>
                <w:b/>
                <w:bCs/>
                <w:color w:val="FFFFFF" w:themeColor="background1"/>
                <w:szCs w:val="24"/>
              </w:rPr>
            </w:pPr>
            <w:r>
              <w:rPr>
                <w:b/>
                <w:bCs/>
                <w:color w:val="FFFFFF" w:themeColor="background1"/>
                <w:szCs w:val="24"/>
              </w:rPr>
              <w:t>Progress to Date</w:t>
            </w:r>
            <w:r w:rsidR="00957564">
              <w:rPr>
                <w:b/>
                <w:bCs/>
                <w:color w:val="FFFFFF" w:themeColor="background1"/>
                <w:szCs w:val="24"/>
              </w:rPr>
              <w:t xml:space="preserve"> </w:t>
            </w:r>
            <w:r>
              <w:rPr>
                <w:b/>
                <w:bCs/>
                <w:color w:val="FFFFFF" w:themeColor="background1"/>
                <w:szCs w:val="24"/>
              </w:rPr>
              <w:t>and Priorities in 2024/25</w:t>
            </w:r>
          </w:p>
        </w:tc>
      </w:tr>
    </w:tbl>
    <w:p w14:paraId="3A7FA1A8" w14:textId="77777777" w:rsidR="001258A0" w:rsidRDefault="001258A0" w:rsidP="001258A0"/>
    <w:p w14:paraId="21FF50EA" w14:textId="37418AF6" w:rsidR="001258A0" w:rsidRDefault="00AF7A06" w:rsidP="00F4526B">
      <w:r>
        <w:t>T</w:t>
      </w:r>
      <w:r w:rsidR="001258A0">
        <w:t>h</w:t>
      </w:r>
      <w:r w:rsidR="00660744">
        <w:t xml:space="preserve">e Policy </w:t>
      </w:r>
      <w:r w:rsidR="001258A0">
        <w:t xml:space="preserve">is broadly </w:t>
      </w:r>
      <w:r>
        <w:t xml:space="preserve">well embedded </w:t>
      </w:r>
      <w:r w:rsidR="001258A0">
        <w:t>for the monitoring of Corporate and Service Risks</w:t>
      </w:r>
      <w:r w:rsidR="00957564">
        <w:t>,</w:t>
      </w:r>
      <w:r w:rsidR="0075553B">
        <w:t xml:space="preserve"> </w:t>
      </w:r>
      <w:r>
        <w:t>a</w:t>
      </w:r>
      <w:r w:rsidR="0075553B">
        <w:t xml:space="preserve">lthough improvements are needed </w:t>
      </w:r>
      <w:r>
        <w:t xml:space="preserve">during 2024/25 </w:t>
      </w:r>
      <w:r w:rsidR="0075553B">
        <w:t>on</w:t>
      </w:r>
      <w:r>
        <w:t xml:space="preserve"> the </w:t>
      </w:r>
      <w:r w:rsidR="00660744">
        <w:t>assessment of risks in Committee Papers</w:t>
      </w:r>
      <w:r w:rsidR="00957564">
        <w:t>.  T</w:t>
      </w:r>
      <w:r w:rsidR="00E10FFE">
        <w:t>his will be taken forward as part of revised Committee Paper templates</w:t>
      </w:r>
      <w:r w:rsidR="00957564">
        <w:t xml:space="preserve"> </w:t>
      </w:r>
      <w:proofErr w:type="gramStart"/>
      <w:r w:rsidR="00957564">
        <w:t>in ?</w:t>
      </w:r>
      <w:proofErr w:type="gramEnd"/>
      <w:r w:rsidR="00957564">
        <w:t>???</w:t>
      </w:r>
      <w:r w:rsidR="00660744">
        <w:t>.</w:t>
      </w:r>
    </w:p>
    <w:p w14:paraId="608FC2C0" w14:textId="77777777" w:rsidR="008B61FE" w:rsidRDefault="008B61FE" w:rsidP="00F4526B"/>
    <w:p w14:paraId="5A796A8F" w14:textId="49E6F4FE" w:rsidR="008B61FE" w:rsidRDefault="000C20FB" w:rsidP="00F4526B">
      <w:r>
        <w:t xml:space="preserve">The effectiveness of the Policy </w:t>
      </w:r>
      <w:r w:rsidR="00AF7A06">
        <w:t xml:space="preserve">was </w:t>
      </w:r>
      <w:r>
        <w:t xml:space="preserve">reviewed by </w:t>
      </w:r>
      <w:r w:rsidR="00AF7A06">
        <w:t>West Lothian Council in 2022/2</w:t>
      </w:r>
      <w:r w:rsidR="00B06DEC">
        <w:t>3.  A</w:t>
      </w:r>
      <w:r>
        <w:t xml:space="preserve"> </w:t>
      </w:r>
      <w:r w:rsidR="00AF7A06">
        <w:t xml:space="preserve">Risk </w:t>
      </w:r>
      <w:r>
        <w:t xml:space="preserve">Maturity </w:t>
      </w:r>
      <w:r w:rsidR="00AF7A06">
        <w:t>S</w:t>
      </w:r>
      <w:r w:rsidR="008B61FE">
        <w:t>elf-</w:t>
      </w:r>
      <w:r w:rsidR="00AF7A06">
        <w:t>A</w:t>
      </w:r>
      <w:r w:rsidR="008B61FE">
        <w:t>ssessment</w:t>
      </w:r>
      <w:r>
        <w:t xml:space="preserve"> will be completed </w:t>
      </w:r>
      <w:r w:rsidR="00793749">
        <w:t>by March 2025</w:t>
      </w:r>
      <w:r w:rsidR="008B61FE">
        <w:t xml:space="preserve"> to inform </w:t>
      </w:r>
      <w:r>
        <w:t xml:space="preserve">any changes to the </w:t>
      </w:r>
      <w:r w:rsidR="008B61FE">
        <w:t>Policy in 2025/26.</w:t>
      </w:r>
    </w:p>
    <w:p w14:paraId="41650709" w14:textId="77777777" w:rsidR="0075553B" w:rsidRDefault="0075553B" w:rsidP="00F4526B">
      <w:pPr>
        <w:rPr>
          <w:rStyle w:val="normaltextrun"/>
        </w:rPr>
      </w:pPr>
    </w:p>
    <w:tbl>
      <w:tblPr>
        <w:tblStyle w:val="TableGrid"/>
        <w:tblW w:w="0" w:type="auto"/>
        <w:shd w:val="clear" w:color="auto" w:fill="0070C0"/>
        <w:tblLook w:val="04A0" w:firstRow="1" w:lastRow="0" w:firstColumn="1" w:lastColumn="0" w:noHBand="0" w:noVBand="1"/>
      </w:tblPr>
      <w:tblGrid>
        <w:gridCol w:w="9776"/>
      </w:tblGrid>
      <w:tr w:rsidR="001258A0" w:rsidRPr="001258A0" w14:paraId="46B51E59" w14:textId="77777777" w:rsidTr="001258A0">
        <w:tc>
          <w:tcPr>
            <w:tcW w:w="9776" w:type="dxa"/>
            <w:shd w:val="clear" w:color="auto" w:fill="0070C0"/>
          </w:tcPr>
          <w:p w14:paraId="07864FEE" w14:textId="17B67370" w:rsidR="001258A0" w:rsidRPr="001258A0" w:rsidRDefault="001258A0" w:rsidP="00DE25B3">
            <w:pPr>
              <w:rPr>
                <w:b/>
                <w:bCs/>
                <w:color w:val="FFFFFF" w:themeColor="background1"/>
                <w:szCs w:val="24"/>
              </w:rPr>
            </w:pPr>
            <w:r>
              <w:rPr>
                <w:b/>
                <w:bCs/>
                <w:color w:val="FFFFFF" w:themeColor="background1"/>
                <w:szCs w:val="24"/>
              </w:rPr>
              <w:t>Evidence</w:t>
            </w:r>
          </w:p>
        </w:tc>
      </w:tr>
    </w:tbl>
    <w:p w14:paraId="4B10E0B8" w14:textId="77777777" w:rsidR="001258A0" w:rsidRDefault="001258A0" w:rsidP="00F4526B">
      <w:pPr>
        <w:rPr>
          <w:rStyle w:val="normaltextrun"/>
          <w:szCs w:val="24"/>
        </w:rPr>
      </w:pPr>
    </w:p>
    <w:p w14:paraId="4F0F4E4A" w14:textId="61368428" w:rsidR="005011FC" w:rsidRPr="005011FC" w:rsidRDefault="005011FC" w:rsidP="005011FC">
      <w:pPr>
        <w:rPr>
          <w:rStyle w:val="Hyperlink"/>
          <w:color w:val="262626"/>
          <w:u w:val="none"/>
        </w:rPr>
      </w:pPr>
      <w:r>
        <w:t xml:space="preserve">The </w:t>
      </w:r>
      <w:r w:rsidRPr="00B13143">
        <w:rPr>
          <w:szCs w:val="24"/>
        </w:rPr>
        <w:t xml:space="preserve">Policy </w:t>
      </w:r>
      <w:r w:rsidR="00B13143">
        <w:rPr>
          <w:szCs w:val="24"/>
        </w:rPr>
        <w:t xml:space="preserve">sets out the following </w:t>
      </w:r>
      <w:r w:rsidR="00501470">
        <w:rPr>
          <w:szCs w:val="24"/>
        </w:rPr>
        <w:t>approach to risk</w:t>
      </w:r>
      <w:r w:rsidR="00B06DEC">
        <w:rPr>
          <w:szCs w:val="24"/>
        </w:rPr>
        <w:t>,</w:t>
      </w:r>
      <w:r w:rsidR="0075553B">
        <w:rPr>
          <w:szCs w:val="24"/>
        </w:rPr>
        <w:t xml:space="preserve"> and this is evidence</w:t>
      </w:r>
      <w:r w:rsidR="00B06DEC">
        <w:rPr>
          <w:szCs w:val="24"/>
        </w:rPr>
        <w:t>d</w:t>
      </w:r>
      <w:r w:rsidR="0075553B">
        <w:rPr>
          <w:szCs w:val="24"/>
        </w:rPr>
        <w:t xml:space="preserve"> in how risks are </w:t>
      </w:r>
      <w:r w:rsidR="00793749">
        <w:rPr>
          <w:szCs w:val="24"/>
        </w:rPr>
        <w:t xml:space="preserve">managed and </w:t>
      </w:r>
      <w:r w:rsidR="0075553B">
        <w:rPr>
          <w:szCs w:val="24"/>
        </w:rPr>
        <w:t>reviewed by Chief Officers and Elected Members:</w:t>
      </w:r>
    </w:p>
    <w:p w14:paraId="1062EC69" w14:textId="77777777" w:rsidR="005011FC" w:rsidRPr="005011FC" w:rsidRDefault="005011FC" w:rsidP="005011FC">
      <w:pPr>
        <w:pStyle w:val="ListParagraph"/>
        <w:ind w:left="567"/>
        <w:contextualSpacing w:val="0"/>
        <w:rPr>
          <w:rStyle w:val="Hyperlink"/>
          <w:color w:val="262626"/>
          <w:u w:val="none"/>
        </w:rPr>
      </w:pPr>
    </w:p>
    <w:p w14:paraId="65DE25E1" w14:textId="6CAA0D50" w:rsidR="00B13143" w:rsidRDefault="005011FC" w:rsidP="004A3011">
      <w:pPr>
        <w:pStyle w:val="ListParagraph"/>
        <w:numPr>
          <w:ilvl w:val="0"/>
          <w:numId w:val="6"/>
        </w:numPr>
        <w:ind w:right="261"/>
        <w:contextualSpacing w:val="0"/>
      </w:pPr>
      <w:r w:rsidRPr="005011FC">
        <w:t>The Council encourages decision makers to be ‘risk aware’ rather than ‘risk averse’.  This means that risk is not a bad thing and does not need to be avoided</w:t>
      </w:r>
      <w:r w:rsidR="00B06DEC">
        <w:t>,</w:t>
      </w:r>
      <w:r w:rsidR="001343DF">
        <w:t xml:space="preserve"> but informed decisions should be made on risks and </w:t>
      </w:r>
      <w:proofErr w:type="gramStart"/>
      <w:r w:rsidR="001343DF">
        <w:t>benefits;</w:t>
      </w:r>
      <w:proofErr w:type="gramEnd"/>
    </w:p>
    <w:p w14:paraId="16601E01" w14:textId="77777777" w:rsidR="00B13143" w:rsidRDefault="00B13143" w:rsidP="00B13143">
      <w:pPr>
        <w:pStyle w:val="ListParagraph"/>
        <w:ind w:right="261"/>
      </w:pPr>
    </w:p>
    <w:p w14:paraId="30B1F734" w14:textId="19B5C887" w:rsidR="005011FC" w:rsidRDefault="005011FC" w:rsidP="004A3011">
      <w:pPr>
        <w:pStyle w:val="ListParagraph"/>
        <w:numPr>
          <w:ilvl w:val="0"/>
          <w:numId w:val="6"/>
        </w:numPr>
        <w:ind w:right="261"/>
        <w:contextualSpacing w:val="0"/>
      </w:pPr>
      <w:r w:rsidRPr="005011FC">
        <w:t>The Council support</w:t>
      </w:r>
      <w:r w:rsidR="00B06DEC">
        <w:t>s</w:t>
      </w:r>
      <w:r w:rsidRPr="005011FC">
        <w:t xml:space="preserve"> employees, communities, and partners who take opportunities where the risks </w:t>
      </w:r>
      <w:r w:rsidRPr="00B13143">
        <w:rPr>
          <w:bCs/>
        </w:rPr>
        <w:t>are considered, reasonable</w:t>
      </w:r>
      <w:r w:rsidRPr="005011FC">
        <w:t xml:space="preserve"> controls are in place to mitigate risks and maximise opportunities</w:t>
      </w:r>
      <w:r w:rsidR="00B06DEC">
        <w:t>,</w:t>
      </w:r>
      <w:r w:rsidRPr="005011FC">
        <w:t xml:space="preserve"> and decisions are proportionately documented, monitored, and reviewed</w:t>
      </w:r>
      <w:r w:rsidR="00706589">
        <w:t>;</w:t>
      </w:r>
      <w:r w:rsidR="001343DF">
        <w:t xml:space="preserve"> and</w:t>
      </w:r>
    </w:p>
    <w:p w14:paraId="5F9B0235" w14:textId="77777777" w:rsidR="00706589" w:rsidRDefault="00706589" w:rsidP="00706589">
      <w:pPr>
        <w:pStyle w:val="ListParagraph"/>
      </w:pPr>
    </w:p>
    <w:p w14:paraId="70CF4082" w14:textId="0C489EF0" w:rsidR="00D9002F" w:rsidRPr="001258A0" w:rsidRDefault="00706589" w:rsidP="004A3011">
      <w:pPr>
        <w:pStyle w:val="ListParagraph"/>
        <w:numPr>
          <w:ilvl w:val="0"/>
          <w:numId w:val="6"/>
        </w:numPr>
        <w:ind w:right="261"/>
        <w:contextualSpacing w:val="0"/>
      </w:pPr>
      <w:r w:rsidRPr="005011FC">
        <w:rPr>
          <w:color w:val="000000" w:themeColor="text1"/>
        </w:rPr>
        <w:t>The Council’s approach to managing and reporting risk</w:t>
      </w:r>
      <w:r w:rsidR="00131A99">
        <w:rPr>
          <w:color w:val="000000" w:themeColor="text1"/>
        </w:rPr>
        <w:t xml:space="preserve"> is</w:t>
      </w:r>
      <w:r w:rsidRPr="005011FC">
        <w:rPr>
          <w:color w:val="000000" w:themeColor="text1"/>
        </w:rPr>
        <w:t xml:space="preserve"> transparent and consistent with our </w:t>
      </w:r>
      <w:r w:rsidR="001343DF">
        <w:rPr>
          <w:color w:val="000000" w:themeColor="text1"/>
        </w:rPr>
        <w:t xml:space="preserve">target </w:t>
      </w:r>
      <w:r w:rsidRPr="005011FC">
        <w:rPr>
          <w:color w:val="000000" w:themeColor="text1"/>
        </w:rPr>
        <w:t xml:space="preserve">risk </w:t>
      </w:r>
      <w:r w:rsidR="001343DF">
        <w:rPr>
          <w:color w:val="000000" w:themeColor="text1"/>
        </w:rPr>
        <w:t>(</w:t>
      </w:r>
      <w:r w:rsidRPr="005011FC">
        <w:rPr>
          <w:color w:val="000000" w:themeColor="text1"/>
        </w:rPr>
        <w:t>appetite</w:t>
      </w:r>
      <w:r w:rsidR="001343DF">
        <w:rPr>
          <w:color w:val="000000" w:themeColor="text1"/>
        </w:rPr>
        <w:t>)</w:t>
      </w:r>
      <w:r w:rsidRPr="005011FC">
        <w:rPr>
          <w:color w:val="000000" w:themeColor="text1"/>
        </w:rPr>
        <w:t xml:space="preserve"> and values (RITA – Responsive, Innovat</w:t>
      </w:r>
      <w:r w:rsidR="00B06DEC">
        <w:rPr>
          <w:color w:val="000000" w:themeColor="text1"/>
        </w:rPr>
        <w:t>iv</w:t>
      </w:r>
      <w:r w:rsidRPr="005011FC">
        <w:rPr>
          <w:color w:val="000000" w:themeColor="text1"/>
        </w:rPr>
        <w:t>e, Trusted, and Ambitious)</w:t>
      </w:r>
      <w:r w:rsidR="001258A0">
        <w:rPr>
          <w:color w:val="000000" w:themeColor="text1"/>
        </w:rPr>
        <w:t>, which means:</w:t>
      </w:r>
    </w:p>
    <w:p w14:paraId="71D174E4" w14:textId="77777777" w:rsidR="001258A0" w:rsidRDefault="001258A0" w:rsidP="001258A0">
      <w:pPr>
        <w:pStyle w:val="ListParagraph"/>
      </w:pPr>
    </w:p>
    <w:tbl>
      <w:tblPr>
        <w:tblStyle w:val="TableGrid"/>
        <w:tblW w:w="9639" w:type="dxa"/>
        <w:tblInd w:w="-5" w:type="dxa"/>
        <w:tblLook w:val="04A0" w:firstRow="1" w:lastRow="0" w:firstColumn="1" w:lastColumn="0" w:noHBand="0" w:noVBand="1"/>
      </w:tblPr>
      <w:tblGrid>
        <w:gridCol w:w="1843"/>
        <w:gridCol w:w="7796"/>
      </w:tblGrid>
      <w:tr w:rsidR="00865010" w:rsidRPr="003C2611" w14:paraId="3586963C" w14:textId="77777777" w:rsidTr="008E36CE">
        <w:tc>
          <w:tcPr>
            <w:tcW w:w="1843" w:type="dxa"/>
            <w:shd w:val="clear" w:color="auto" w:fill="00B0F0"/>
          </w:tcPr>
          <w:p w14:paraId="421139DE" w14:textId="3A368CFC" w:rsidR="00865010" w:rsidRPr="00E41B00" w:rsidRDefault="00865010" w:rsidP="00FE36AE">
            <w:pPr>
              <w:rPr>
                <w:b/>
                <w:bCs/>
                <w:color w:val="3B3838" w:themeColor="background2" w:themeShade="40"/>
              </w:rPr>
            </w:pPr>
            <w:r w:rsidRPr="00E41B00">
              <w:rPr>
                <w:b/>
                <w:bCs/>
                <w:color w:val="3B3838" w:themeColor="background2" w:themeShade="40"/>
              </w:rPr>
              <w:t xml:space="preserve">Council </w:t>
            </w:r>
            <w:r w:rsidR="008E36CE" w:rsidRPr="00E41B00">
              <w:rPr>
                <w:b/>
                <w:bCs/>
                <w:color w:val="3B3838" w:themeColor="background2" w:themeShade="40"/>
              </w:rPr>
              <w:t>V</w:t>
            </w:r>
            <w:r w:rsidRPr="00E41B00">
              <w:rPr>
                <w:b/>
                <w:bCs/>
                <w:color w:val="3B3838" w:themeColor="background2" w:themeShade="40"/>
              </w:rPr>
              <w:t>alues</w:t>
            </w:r>
          </w:p>
        </w:tc>
        <w:tc>
          <w:tcPr>
            <w:tcW w:w="7796" w:type="dxa"/>
            <w:shd w:val="clear" w:color="auto" w:fill="00B0F0"/>
          </w:tcPr>
          <w:p w14:paraId="70317C9D" w14:textId="7ED7F8CB" w:rsidR="00865010" w:rsidRPr="00E41B00" w:rsidRDefault="00865010" w:rsidP="008E36CE">
            <w:pPr>
              <w:rPr>
                <w:b/>
                <w:bCs/>
                <w:color w:val="3B3838" w:themeColor="background2" w:themeShade="40"/>
              </w:rPr>
            </w:pPr>
            <w:r w:rsidRPr="00E41B00">
              <w:rPr>
                <w:b/>
                <w:bCs/>
                <w:color w:val="3B3838" w:themeColor="background2" w:themeShade="40"/>
              </w:rPr>
              <w:t xml:space="preserve">Risk Management Behaviours </w:t>
            </w:r>
            <w:r w:rsidR="00261464" w:rsidRPr="00E41B00">
              <w:rPr>
                <w:b/>
                <w:bCs/>
                <w:color w:val="3B3838" w:themeColor="background2" w:themeShade="40"/>
              </w:rPr>
              <w:t xml:space="preserve">and </w:t>
            </w:r>
            <w:r w:rsidRPr="00E41B00">
              <w:rPr>
                <w:b/>
                <w:bCs/>
                <w:color w:val="3B3838" w:themeColor="background2" w:themeShade="40"/>
              </w:rPr>
              <w:t>Culture</w:t>
            </w:r>
          </w:p>
        </w:tc>
      </w:tr>
      <w:tr w:rsidR="00865010" w:rsidRPr="007E16ED" w14:paraId="4A34AC2D" w14:textId="77777777" w:rsidTr="008E36CE">
        <w:tc>
          <w:tcPr>
            <w:tcW w:w="1843" w:type="dxa"/>
            <w:shd w:val="clear" w:color="auto" w:fill="FFC000"/>
          </w:tcPr>
          <w:p w14:paraId="073E57BD" w14:textId="40E3B87D" w:rsidR="00865010" w:rsidRPr="00B16F50" w:rsidRDefault="00865010" w:rsidP="00FE36AE">
            <w:pPr>
              <w:rPr>
                <w:color w:val="auto"/>
              </w:rPr>
            </w:pPr>
            <w:r w:rsidRPr="00B16F50">
              <w:rPr>
                <w:color w:val="auto"/>
              </w:rPr>
              <w:t>Responsive</w:t>
            </w:r>
          </w:p>
        </w:tc>
        <w:tc>
          <w:tcPr>
            <w:tcW w:w="7796" w:type="dxa"/>
            <w:shd w:val="clear" w:color="auto" w:fill="auto"/>
          </w:tcPr>
          <w:p w14:paraId="14B15F59" w14:textId="635FFC19" w:rsidR="00865010" w:rsidRDefault="00865010" w:rsidP="004A3011">
            <w:pPr>
              <w:pStyle w:val="ListParagraph"/>
              <w:numPr>
                <w:ilvl w:val="0"/>
                <w:numId w:val="8"/>
              </w:numPr>
              <w:ind w:left="315" w:hanging="315"/>
              <w:contextualSpacing w:val="0"/>
              <w:rPr>
                <w:color w:val="auto"/>
              </w:rPr>
            </w:pPr>
            <w:r w:rsidRPr="00865010">
              <w:rPr>
                <w:color w:val="auto"/>
              </w:rPr>
              <w:t>Risk</w:t>
            </w:r>
            <w:r>
              <w:rPr>
                <w:color w:val="auto"/>
              </w:rPr>
              <w:t xml:space="preserve"> assessments are dynamic</w:t>
            </w:r>
            <w:r w:rsidR="00186F2E">
              <w:rPr>
                <w:color w:val="auto"/>
              </w:rPr>
              <w:t xml:space="preserve"> i.e. are a current assessment of the risks, and they </w:t>
            </w:r>
            <w:r w:rsidR="00660744">
              <w:rPr>
                <w:color w:val="auto"/>
              </w:rPr>
              <w:t xml:space="preserve">reflect ongoing changes to the </w:t>
            </w:r>
            <w:r w:rsidRPr="00865010">
              <w:rPr>
                <w:color w:val="auto"/>
              </w:rPr>
              <w:t xml:space="preserve">internal and external </w:t>
            </w:r>
            <w:r w:rsidR="00660744">
              <w:rPr>
                <w:color w:val="auto"/>
              </w:rPr>
              <w:t>environment.</w:t>
            </w:r>
          </w:p>
          <w:p w14:paraId="26273BFA" w14:textId="463271E2" w:rsidR="00186F2E" w:rsidRPr="00865010" w:rsidRDefault="00186F2E" w:rsidP="00186F2E">
            <w:pPr>
              <w:pStyle w:val="ListParagraph"/>
              <w:ind w:left="315"/>
              <w:contextualSpacing w:val="0"/>
              <w:rPr>
                <w:color w:val="auto"/>
              </w:rPr>
            </w:pPr>
          </w:p>
        </w:tc>
      </w:tr>
      <w:tr w:rsidR="00865010" w:rsidRPr="007E16ED" w14:paraId="046CE798" w14:textId="77777777" w:rsidTr="008E36CE">
        <w:tc>
          <w:tcPr>
            <w:tcW w:w="1843" w:type="dxa"/>
            <w:shd w:val="clear" w:color="auto" w:fill="E61085"/>
          </w:tcPr>
          <w:p w14:paraId="61BE29B0" w14:textId="5C8374E7" w:rsidR="00865010" w:rsidRPr="00B16F50" w:rsidRDefault="00865010" w:rsidP="00FE36AE">
            <w:pPr>
              <w:rPr>
                <w:color w:val="auto"/>
              </w:rPr>
            </w:pPr>
            <w:r w:rsidRPr="00B16F50">
              <w:rPr>
                <w:color w:val="auto"/>
              </w:rPr>
              <w:t>Innovative</w:t>
            </w:r>
          </w:p>
        </w:tc>
        <w:tc>
          <w:tcPr>
            <w:tcW w:w="7796" w:type="dxa"/>
            <w:shd w:val="clear" w:color="auto" w:fill="auto"/>
          </w:tcPr>
          <w:p w14:paraId="3E8DAFCD" w14:textId="2D6B57E6" w:rsidR="0024167D" w:rsidRPr="0024167D" w:rsidRDefault="00865010" w:rsidP="0024167D">
            <w:pPr>
              <w:pStyle w:val="ListParagraph"/>
              <w:numPr>
                <w:ilvl w:val="0"/>
                <w:numId w:val="8"/>
              </w:numPr>
              <w:ind w:left="315" w:right="-133" w:hanging="315"/>
              <w:contextualSpacing w:val="0"/>
              <w:rPr>
                <w:color w:val="auto"/>
              </w:rPr>
            </w:pPr>
            <w:r w:rsidRPr="0024167D">
              <w:rPr>
                <w:color w:val="auto"/>
              </w:rPr>
              <w:t>Risk</w:t>
            </w:r>
            <w:r w:rsidR="0024167D" w:rsidRPr="0024167D">
              <w:rPr>
                <w:color w:val="auto"/>
              </w:rPr>
              <w:t xml:space="preserve"> </w:t>
            </w:r>
            <w:r w:rsidR="0024167D">
              <w:rPr>
                <w:color w:val="auto"/>
              </w:rPr>
              <w:t>m</w:t>
            </w:r>
            <w:r w:rsidR="0024167D" w:rsidRPr="0024167D">
              <w:rPr>
                <w:color w:val="auto"/>
              </w:rPr>
              <w:t>anagement support</w:t>
            </w:r>
            <w:r w:rsidR="0024167D">
              <w:rPr>
                <w:color w:val="auto"/>
              </w:rPr>
              <w:t xml:space="preserve">s Council </w:t>
            </w:r>
            <w:r w:rsidR="0024167D" w:rsidRPr="0024167D">
              <w:rPr>
                <w:color w:val="auto"/>
              </w:rPr>
              <w:t xml:space="preserve">transformation, and </w:t>
            </w:r>
            <w:r w:rsidR="0024167D">
              <w:rPr>
                <w:color w:val="auto"/>
              </w:rPr>
              <w:t xml:space="preserve">our approach to assessing and managing risks balances </w:t>
            </w:r>
            <w:r w:rsidR="0024167D" w:rsidRPr="0024167D">
              <w:rPr>
                <w:color w:val="auto"/>
              </w:rPr>
              <w:t>both opportunities</w:t>
            </w:r>
            <w:r w:rsidR="0024167D">
              <w:rPr>
                <w:color w:val="auto"/>
              </w:rPr>
              <w:t xml:space="preserve"> and </w:t>
            </w:r>
            <w:r w:rsidR="0024167D" w:rsidRPr="0024167D">
              <w:rPr>
                <w:color w:val="auto"/>
              </w:rPr>
              <w:t>threats</w:t>
            </w:r>
            <w:r w:rsidR="0024167D">
              <w:rPr>
                <w:color w:val="auto"/>
              </w:rPr>
              <w:t>.</w:t>
            </w:r>
          </w:p>
          <w:p w14:paraId="72F38CC9" w14:textId="77777777" w:rsidR="00865010" w:rsidRPr="00865010" w:rsidRDefault="00865010" w:rsidP="007C4051">
            <w:pPr>
              <w:pStyle w:val="ListParagraph"/>
              <w:ind w:left="315" w:right="-133"/>
              <w:contextualSpacing w:val="0"/>
              <w:rPr>
                <w:color w:val="auto"/>
              </w:rPr>
            </w:pPr>
          </w:p>
        </w:tc>
      </w:tr>
      <w:tr w:rsidR="00865010" w:rsidRPr="008B76B9" w14:paraId="2677A287" w14:textId="77777777" w:rsidTr="008E36CE">
        <w:tc>
          <w:tcPr>
            <w:tcW w:w="1843" w:type="dxa"/>
            <w:shd w:val="clear" w:color="auto" w:fill="ACD975"/>
          </w:tcPr>
          <w:p w14:paraId="60FD6D56" w14:textId="23D855DC" w:rsidR="00865010" w:rsidRPr="00B16F50" w:rsidRDefault="00865010" w:rsidP="00FE36AE">
            <w:pPr>
              <w:rPr>
                <w:color w:val="44546A" w:themeColor="text2"/>
              </w:rPr>
            </w:pPr>
            <w:r w:rsidRPr="00B16F50">
              <w:rPr>
                <w:color w:val="44546A" w:themeColor="text2"/>
                <w:szCs w:val="24"/>
              </w:rPr>
              <w:t>T</w:t>
            </w:r>
            <w:r w:rsidRPr="00B16F50">
              <w:rPr>
                <w:color w:val="44546A" w:themeColor="text2"/>
              </w:rPr>
              <w:t>rusted</w:t>
            </w:r>
          </w:p>
        </w:tc>
        <w:tc>
          <w:tcPr>
            <w:tcW w:w="7796" w:type="dxa"/>
            <w:shd w:val="clear" w:color="auto" w:fill="auto"/>
          </w:tcPr>
          <w:p w14:paraId="03512F09" w14:textId="6E748B0A" w:rsidR="00865010" w:rsidRDefault="00865010" w:rsidP="004A3011">
            <w:pPr>
              <w:pStyle w:val="ListParagraph"/>
              <w:numPr>
                <w:ilvl w:val="0"/>
                <w:numId w:val="8"/>
              </w:numPr>
              <w:ind w:left="315" w:right="-121" w:hanging="315"/>
              <w:contextualSpacing w:val="0"/>
              <w:rPr>
                <w:color w:val="auto"/>
              </w:rPr>
            </w:pPr>
            <w:r>
              <w:rPr>
                <w:color w:val="auto"/>
              </w:rPr>
              <w:t xml:space="preserve">Council </w:t>
            </w:r>
            <w:r w:rsidR="00186F2E">
              <w:rPr>
                <w:color w:val="auto"/>
              </w:rPr>
              <w:t xml:space="preserve">Officers are trusted to be </w:t>
            </w:r>
            <w:r>
              <w:rPr>
                <w:color w:val="auto"/>
              </w:rPr>
              <w:t>t</w:t>
            </w:r>
            <w:r w:rsidRPr="00865010">
              <w:rPr>
                <w:color w:val="auto"/>
              </w:rPr>
              <w:t>ransparent</w:t>
            </w:r>
            <w:r w:rsidR="00186F2E">
              <w:rPr>
                <w:color w:val="auto"/>
              </w:rPr>
              <w:t xml:space="preserve"> when assessing </w:t>
            </w:r>
            <w:r w:rsidRPr="00865010">
              <w:rPr>
                <w:color w:val="auto"/>
              </w:rPr>
              <w:t>risks</w:t>
            </w:r>
            <w:r w:rsidR="00186F2E">
              <w:rPr>
                <w:color w:val="auto"/>
              </w:rPr>
              <w:t>, so that Elected Members can make informed decisions</w:t>
            </w:r>
            <w:r w:rsidR="00660744">
              <w:rPr>
                <w:color w:val="auto"/>
              </w:rPr>
              <w:t xml:space="preserve"> on appetite and mitigations.</w:t>
            </w:r>
          </w:p>
          <w:p w14:paraId="2CB13CD6" w14:textId="77C9FAB0" w:rsidR="00186F2E" w:rsidRPr="00865010" w:rsidRDefault="00186F2E" w:rsidP="00186F2E">
            <w:pPr>
              <w:pStyle w:val="ListParagraph"/>
              <w:ind w:left="315" w:right="-121"/>
              <w:contextualSpacing w:val="0"/>
              <w:rPr>
                <w:color w:val="auto"/>
              </w:rPr>
            </w:pPr>
          </w:p>
        </w:tc>
      </w:tr>
      <w:tr w:rsidR="00865010" w:rsidRPr="008B76B9" w14:paraId="798A9592" w14:textId="77777777" w:rsidTr="008E36CE">
        <w:tc>
          <w:tcPr>
            <w:tcW w:w="1843" w:type="dxa"/>
            <w:shd w:val="clear" w:color="auto" w:fill="00B0F0"/>
          </w:tcPr>
          <w:p w14:paraId="6A83ABD1" w14:textId="0D0F6D14" w:rsidR="00865010" w:rsidRPr="00E41B00" w:rsidRDefault="00865010" w:rsidP="00FE36AE">
            <w:pPr>
              <w:rPr>
                <w:color w:val="3B3838" w:themeColor="background2" w:themeShade="40"/>
                <w:szCs w:val="24"/>
              </w:rPr>
            </w:pPr>
            <w:r w:rsidRPr="00E41B00">
              <w:rPr>
                <w:color w:val="3B3838" w:themeColor="background2" w:themeShade="40"/>
              </w:rPr>
              <w:t xml:space="preserve">Ambitious </w:t>
            </w:r>
          </w:p>
        </w:tc>
        <w:tc>
          <w:tcPr>
            <w:tcW w:w="7796" w:type="dxa"/>
            <w:shd w:val="clear" w:color="auto" w:fill="auto"/>
          </w:tcPr>
          <w:p w14:paraId="5F38CE40" w14:textId="23362637" w:rsidR="00865010" w:rsidRPr="00186F2E" w:rsidRDefault="00865010" w:rsidP="004A3011">
            <w:pPr>
              <w:pStyle w:val="ListParagraph"/>
              <w:numPr>
                <w:ilvl w:val="0"/>
                <w:numId w:val="8"/>
              </w:numPr>
              <w:ind w:left="315" w:right="-121" w:hanging="315"/>
              <w:contextualSpacing w:val="0"/>
              <w:rPr>
                <w:b/>
                <w:bCs/>
                <w:color w:val="auto"/>
              </w:rPr>
            </w:pPr>
            <w:r>
              <w:rPr>
                <w:color w:val="auto"/>
              </w:rPr>
              <w:t>Council</w:t>
            </w:r>
            <w:r w:rsidR="00186F2E">
              <w:rPr>
                <w:color w:val="auto"/>
              </w:rPr>
              <w:t xml:space="preserve"> Officers and Elected Members </w:t>
            </w:r>
            <w:r w:rsidR="00793749">
              <w:rPr>
                <w:color w:val="auto"/>
              </w:rPr>
              <w:t>set</w:t>
            </w:r>
            <w:r>
              <w:rPr>
                <w:color w:val="auto"/>
              </w:rPr>
              <w:t xml:space="preserve"> ambitious</w:t>
            </w:r>
            <w:r w:rsidR="00186F2E">
              <w:rPr>
                <w:color w:val="auto"/>
              </w:rPr>
              <w:t xml:space="preserve"> </w:t>
            </w:r>
            <w:r w:rsidR="00793749">
              <w:rPr>
                <w:color w:val="auto"/>
              </w:rPr>
              <w:t xml:space="preserve">(but also achievable) </w:t>
            </w:r>
            <w:r w:rsidR="00186F2E">
              <w:rPr>
                <w:color w:val="auto"/>
              </w:rPr>
              <w:t xml:space="preserve">targets on risks and mitigation action </w:t>
            </w:r>
            <w:proofErr w:type="gramStart"/>
            <w:r w:rsidR="00186F2E">
              <w:rPr>
                <w:color w:val="auto"/>
              </w:rPr>
              <w:t xml:space="preserve">plans, </w:t>
            </w:r>
            <w:r w:rsidR="00793749">
              <w:rPr>
                <w:color w:val="auto"/>
              </w:rPr>
              <w:t>and</w:t>
            </w:r>
            <w:proofErr w:type="gramEnd"/>
            <w:r w:rsidR="00793749">
              <w:rPr>
                <w:color w:val="auto"/>
              </w:rPr>
              <w:t xml:space="preserve"> </w:t>
            </w:r>
            <w:r w:rsidR="00186F2E">
              <w:rPr>
                <w:color w:val="auto"/>
              </w:rPr>
              <w:t>trusted to deliver</w:t>
            </w:r>
            <w:r w:rsidR="00793749">
              <w:rPr>
                <w:color w:val="auto"/>
              </w:rPr>
              <w:t xml:space="preserve"> on them</w:t>
            </w:r>
            <w:r w:rsidR="00186F2E">
              <w:rPr>
                <w:color w:val="auto"/>
              </w:rPr>
              <w:t>.</w:t>
            </w:r>
          </w:p>
          <w:p w14:paraId="58636E48" w14:textId="1DAD3FAB" w:rsidR="00186F2E" w:rsidRPr="00865010" w:rsidRDefault="00186F2E" w:rsidP="00186F2E">
            <w:pPr>
              <w:pStyle w:val="ListParagraph"/>
              <w:ind w:left="315" w:right="-121"/>
              <w:contextualSpacing w:val="0"/>
              <w:rPr>
                <w:b/>
                <w:bCs/>
                <w:color w:val="auto"/>
              </w:rPr>
            </w:pPr>
          </w:p>
        </w:tc>
      </w:tr>
    </w:tbl>
    <w:p w14:paraId="582E1B26" w14:textId="02173B35" w:rsidR="00910683" w:rsidRPr="00E41B00" w:rsidRDefault="00261464" w:rsidP="004B2569">
      <w:pPr>
        <w:pStyle w:val="Heading2"/>
        <w:rPr>
          <w:color w:val="004E9A"/>
        </w:rPr>
      </w:pPr>
      <w:r w:rsidRPr="00E41B00">
        <w:rPr>
          <w:color w:val="004E9A"/>
        </w:rPr>
        <w:t xml:space="preserve"> </w:t>
      </w:r>
    </w:p>
    <w:p w14:paraId="37DA1F75" w14:textId="77777777" w:rsidR="00131A99" w:rsidRPr="00E41B00" w:rsidRDefault="00131A99" w:rsidP="004B2569">
      <w:pPr>
        <w:pStyle w:val="Heading2"/>
        <w:rPr>
          <w:color w:val="004E9A"/>
        </w:rPr>
        <w:sectPr w:rsidR="00131A99" w:rsidRPr="00E41B00" w:rsidSect="006B7646">
          <w:pgSz w:w="11906" w:h="16838"/>
          <w:pgMar w:top="709" w:right="566" w:bottom="426" w:left="1440" w:header="284" w:footer="259" w:gutter="0"/>
          <w:cols w:space="708"/>
          <w:docGrid w:linePitch="360"/>
        </w:sectPr>
      </w:pPr>
    </w:p>
    <w:p w14:paraId="6A909744" w14:textId="6BFDE7BC" w:rsidR="00EB6B16" w:rsidRPr="00E41B00" w:rsidRDefault="0024167D" w:rsidP="004B2569">
      <w:pPr>
        <w:pStyle w:val="Heading2"/>
        <w:rPr>
          <w:color w:val="004E9A"/>
        </w:rPr>
      </w:pPr>
      <w:bookmarkStart w:id="8" w:name="_Toc177571547"/>
      <w:r w:rsidRPr="00E41B00">
        <w:rPr>
          <w:color w:val="004E9A"/>
        </w:rPr>
        <w:lastRenderedPageBreak/>
        <w:t xml:space="preserve">Action </w:t>
      </w:r>
      <w:r w:rsidR="009F1FEE" w:rsidRPr="00E41B00">
        <w:rPr>
          <w:color w:val="004E9A"/>
        </w:rPr>
        <w:t>2</w:t>
      </w:r>
      <w:r w:rsidR="00D1274E" w:rsidRPr="00E41B00">
        <w:rPr>
          <w:color w:val="004E9A"/>
        </w:rPr>
        <w:t xml:space="preserve">: </w:t>
      </w:r>
      <w:r w:rsidR="009F1FEE" w:rsidRPr="00E41B00">
        <w:rPr>
          <w:color w:val="004E9A"/>
        </w:rPr>
        <w:t xml:space="preserve"> </w:t>
      </w:r>
      <w:r w:rsidRPr="00E41B00">
        <w:rPr>
          <w:color w:val="004E9A"/>
        </w:rPr>
        <w:t>CRR</w:t>
      </w:r>
      <w:r w:rsidR="00A131B0" w:rsidRPr="00E41B00">
        <w:rPr>
          <w:color w:val="004E9A"/>
        </w:rPr>
        <w:t>: Assess and manage risks to delivering the Council Plan</w:t>
      </w:r>
      <w:bookmarkEnd w:id="8"/>
    </w:p>
    <w:p w14:paraId="0CB0AFB2" w14:textId="77777777" w:rsidR="00D1274E" w:rsidRDefault="00D1274E" w:rsidP="00D1274E"/>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1"/>
      </w:tblGrid>
      <w:tr w:rsidR="00654AC2" w:rsidRPr="00131D8C" w14:paraId="645BEDFD" w14:textId="77777777" w:rsidTr="001258A0">
        <w:trPr>
          <w:trHeight w:val="258"/>
        </w:trPr>
        <w:tc>
          <w:tcPr>
            <w:tcW w:w="9781" w:type="dxa"/>
            <w:tcBorders>
              <w:bottom w:val="single" w:sz="4" w:space="0" w:color="auto"/>
            </w:tcBorders>
            <w:shd w:val="clear" w:color="auto" w:fill="0070C0"/>
            <w:tcMar>
              <w:top w:w="0" w:type="dxa"/>
              <w:left w:w="108" w:type="dxa"/>
              <w:bottom w:w="0" w:type="dxa"/>
              <w:right w:w="108" w:type="dxa"/>
            </w:tcMar>
          </w:tcPr>
          <w:p w14:paraId="56BB23DE" w14:textId="27667604" w:rsidR="00654AC2" w:rsidRPr="00131D8C" w:rsidRDefault="0024167D" w:rsidP="00FE36AE">
            <w:pPr>
              <w:rPr>
                <w:rFonts w:eastAsia="Arial"/>
                <w:b/>
                <w:color w:val="FFFFFF" w:themeColor="background1"/>
                <w:szCs w:val="24"/>
              </w:rPr>
            </w:pPr>
            <w:r>
              <w:rPr>
                <w:b/>
                <w:bCs/>
                <w:color w:val="FFFFFF" w:themeColor="background1"/>
              </w:rPr>
              <w:t>This action includes:</w:t>
            </w:r>
          </w:p>
        </w:tc>
      </w:tr>
    </w:tbl>
    <w:p w14:paraId="29111472" w14:textId="77777777" w:rsidR="00654AC2" w:rsidRDefault="00654AC2" w:rsidP="00D1274E"/>
    <w:p w14:paraId="78B3A517" w14:textId="2AE2CC13" w:rsidR="0075553B" w:rsidRPr="007C4051" w:rsidRDefault="0075553B" w:rsidP="007C4051">
      <w:pPr>
        <w:pStyle w:val="ListParagraph"/>
        <w:numPr>
          <w:ilvl w:val="0"/>
          <w:numId w:val="8"/>
        </w:numPr>
        <w:ind w:left="426" w:right="-165"/>
        <w:rPr>
          <w:rFonts w:eastAsia="Arial"/>
          <w:szCs w:val="24"/>
        </w:rPr>
      </w:pPr>
      <w:r w:rsidRPr="007C4051">
        <w:rPr>
          <w:rFonts w:eastAsia="Arial"/>
          <w:szCs w:val="24"/>
        </w:rPr>
        <w:t>Target Risk (Appetite)</w:t>
      </w:r>
      <w:r w:rsidR="0024167D">
        <w:rPr>
          <w:rFonts w:eastAsia="Arial"/>
          <w:szCs w:val="24"/>
        </w:rPr>
        <w:t xml:space="preserve"> and </w:t>
      </w:r>
      <w:r w:rsidRPr="007C4051">
        <w:rPr>
          <w:rFonts w:eastAsia="Arial"/>
          <w:szCs w:val="24"/>
        </w:rPr>
        <w:t>measurable action</w:t>
      </w:r>
      <w:r w:rsidR="0024167D">
        <w:rPr>
          <w:rFonts w:eastAsia="Arial"/>
          <w:szCs w:val="24"/>
        </w:rPr>
        <w:t xml:space="preserve"> plans </w:t>
      </w:r>
      <w:r w:rsidRPr="007C4051">
        <w:rPr>
          <w:rFonts w:eastAsia="Arial"/>
          <w:szCs w:val="24"/>
        </w:rPr>
        <w:t xml:space="preserve">will be </w:t>
      </w:r>
      <w:r w:rsidR="0024167D">
        <w:rPr>
          <w:rFonts w:eastAsia="Arial"/>
          <w:szCs w:val="24"/>
        </w:rPr>
        <w:t>identified in</w:t>
      </w:r>
      <w:r w:rsidRPr="007C4051">
        <w:rPr>
          <w:rFonts w:eastAsia="Arial"/>
          <w:szCs w:val="24"/>
        </w:rPr>
        <w:t xml:space="preserve"> risk </w:t>
      </w:r>
      <w:proofErr w:type="gramStart"/>
      <w:r w:rsidRPr="007C4051">
        <w:rPr>
          <w:rFonts w:eastAsia="Arial"/>
          <w:szCs w:val="24"/>
        </w:rPr>
        <w:t>registers</w:t>
      </w:r>
      <w:r w:rsidR="00AB51AC" w:rsidRPr="007C4051">
        <w:rPr>
          <w:rFonts w:eastAsia="Arial"/>
          <w:szCs w:val="24"/>
        </w:rPr>
        <w:t>;</w:t>
      </w:r>
      <w:proofErr w:type="gramEnd"/>
      <w:r w:rsidR="00AE67CA" w:rsidRPr="007C4051">
        <w:rPr>
          <w:rFonts w:eastAsia="Arial"/>
          <w:szCs w:val="24"/>
        </w:rPr>
        <w:t xml:space="preserve"> </w:t>
      </w:r>
    </w:p>
    <w:p w14:paraId="1ED16D00" w14:textId="14C642E6" w:rsidR="0075553B" w:rsidRPr="007C4051" w:rsidRDefault="0075553B" w:rsidP="007C4051">
      <w:pPr>
        <w:pStyle w:val="ListParagraph"/>
        <w:numPr>
          <w:ilvl w:val="0"/>
          <w:numId w:val="8"/>
        </w:numPr>
        <w:ind w:left="426" w:right="-165"/>
        <w:rPr>
          <w:rFonts w:eastAsia="Arial"/>
          <w:szCs w:val="24"/>
        </w:rPr>
      </w:pPr>
      <w:r w:rsidRPr="007C4051">
        <w:rPr>
          <w:rFonts w:eastAsia="Arial"/>
          <w:szCs w:val="24"/>
        </w:rPr>
        <w:t xml:space="preserve">Corporate Risk </w:t>
      </w:r>
      <w:r w:rsidR="0024167D">
        <w:rPr>
          <w:rFonts w:eastAsia="Arial"/>
          <w:szCs w:val="24"/>
        </w:rPr>
        <w:t>r</w:t>
      </w:r>
      <w:r w:rsidR="0024167D" w:rsidRPr="007C4051">
        <w:rPr>
          <w:rFonts w:eastAsia="Arial"/>
          <w:szCs w:val="24"/>
        </w:rPr>
        <w:t xml:space="preserve">eports </w:t>
      </w:r>
      <w:r w:rsidR="00AE67CA" w:rsidRPr="007C4051">
        <w:rPr>
          <w:rFonts w:eastAsia="Arial"/>
          <w:szCs w:val="24"/>
        </w:rPr>
        <w:t xml:space="preserve">are provided to the Executive (6 monthly) and Audit Committee (Annually); </w:t>
      </w:r>
      <w:r w:rsidR="00957564">
        <w:rPr>
          <w:rFonts w:eastAsia="Arial"/>
          <w:szCs w:val="24"/>
        </w:rPr>
        <w:t>and</w:t>
      </w:r>
      <w:r w:rsidR="006D50CA" w:rsidRPr="007C4051">
        <w:rPr>
          <w:rFonts w:eastAsia="Arial"/>
          <w:szCs w:val="24"/>
        </w:rPr>
        <w:t xml:space="preserve"> </w:t>
      </w:r>
    </w:p>
    <w:p w14:paraId="724F56A8" w14:textId="15011DEA" w:rsidR="0075553B" w:rsidRDefault="0075553B" w:rsidP="007C4051">
      <w:pPr>
        <w:pStyle w:val="ListParagraph"/>
        <w:numPr>
          <w:ilvl w:val="0"/>
          <w:numId w:val="8"/>
        </w:numPr>
        <w:ind w:left="426" w:right="-165"/>
      </w:pPr>
      <w:r w:rsidRPr="0024167D">
        <w:rPr>
          <w:rFonts w:eastAsia="Arial"/>
          <w:szCs w:val="24"/>
        </w:rPr>
        <w:t xml:space="preserve">Risk Horizon Scanning </w:t>
      </w:r>
      <w:r w:rsidRPr="0024167D">
        <w:rPr>
          <w:szCs w:val="24"/>
        </w:rPr>
        <w:t>will be undertaken Annually with CMT</w:t>
      </w:r>
      <w:r w:rsidR="001A6B83" w:rsidRPr="0024167D">
        <w:rPr>
          <w:szCs w:val="24"/>
        </w:rPr>
        <w:t xml:space="preserve">, Leadership Teams, </w:t>
      </w:r>
      <w:r w:rsidRPr="0024167D">
        <w:rPr>
          <w:szCs w:val="24"/>
        </w:rPr>
        <w:t>and Members.</w:t>
      </w:r>
    </w:p>
    <w:p w14:paraId="1CB8CD96" w14:textId="77777777" w:rsidR="0075553B" w:rsidRPr="00D1274E" w:rsidRDefault="0075553B" w:rsidP="002B12C2">
      <w:pPr>
        <w:ind w:right="-165"/>
      </w:pPr>
    </w:p>
    <w:tbl>
      <w:tblPr>
        <w:tblStyle w:val="TableGrid"/>
        <w:tblW w:w="0" w:type="auto"/>
        <w:shd w:val="clear" w:color="auto" w:fill="0070C0"/>
        <w:tblLook w:val="04A0" w:firstRow="1" w:lastRow="0" w:firstColumn="1" w:lastColumn="0" w:noHBand="0" w:noVBand="1"/>
      </w:tblPr>
      <w:tblGrid>
        <w:gridCol w:w="9890"/>
      </w:tblGrid>
      <w:tr w:rsidR="001258A0" w:rsidRPr="001258A0" w14:paraId="6307856C" w14:textId="77777777" w:rsidTr="001258A0">
        <w:tc>
          <w:tcPr>
            <w:tcW w:w="9890" w:type="dxa"/>
            <w:shd w:val="clear" w:color="auto" w:fill="0070C0"/>
          </w:tcPr>
          <w:p w14:paraId="35CBB5BB" w14:textId="2B79D62D" w:rsidR="001258A0" w:rsidRPr="0075553B" w:rsidRDefault="003C34B9" w:rsidP="00E561EE">
            <w:pPr>
              <w:rPr>
                <w:b/>
                <w:bCs/>
              </w:rPr>
            </w:pPr>
            <w:r>
              <w:rPr>
                <w:b/>
                <w:bCs/>
                <w:color w:val="FFFFFF" w:themeColor="background1"/>
                <w:szCs w:val="24"/>
              </w:rPr>
              <w:t>Progress to Date and Priorities in 2024/25</w:t>
            </w:r>
          </w:p>
        </w:tc>
      </w:tr>
    </w:tbl>
    <w:p w14:paraId="7FA20C94" w14:textId="77777777" w:rsidR="001258A0" w:rsidRDefault="001258A0" w:rsidP="00EB6B16">
      <w:pPr>
        <w:ind w:right="261"/>
      </w:pPr>
    </w:p>
    <w:p w14:paraId="3E9F9322" w14:textId="7C1A494C" w:rsidR="00092F4E" w:rsidRDefault="00092F4E" w:rsidP="00EB6B16">
      <w:pPr>
        <w:ind w:right="261"/>
      </w:pPr>
      <w:r>
        <w:t>Significant progress has been made during 2023/24 in confirming the</w:t>
      </w:r>
      <w:r w:rsidR="00654AC2">
        <w:t xml:space="preserve"> target risk (appetite) and measurable action</w:t>
      </w:r>
      <w:r w:rsidR="001A6B83">
        <w:t xml:space="preserve"> plans </w:t>
      </w:r>
      <w:r w:rsidR="00654AC2">
        <w:t>on most high corporate risks</w:t>
      </w:r>
      <w:r>
        <w:t xml:space="preserve"> </w:t>
      </w:r>
      <w:r w:rsidR="00A131B0">
        <w:t xml:space="preserve">as well as </w:t>
      </w:r>
      <w:r>
        <w:t>simplifying reports</w:t>
      </w:r>
      <w:r w:rsidR="00957564">
        <w:t>.  T</w:t>
      </w:r>
      <w:r w:rsidR="00793749">
        <w:t xml:space="preserve">he priority in 2024/25 is to continue to </w:t>
      </w:r>
      <w:r w:rsidR="001A6B83">
        <w:t>asse</w:t>
      </w:r>
      <w:r w:rsidR="00AB6E57">
        <w:t>s</w:t>
      </w:r>
      <w:r w:rsidR="001A6B83">
        <w:t>s risks</w:t>
      </w:r>
      <w:r w:rsidR="00793749">
        <w:t xml:space="preserve"> and del</w:t>
      </w:r>
      <w:r w:rsidR="001A6B83">
        <w:t>i</w:t>
      </w:r>
      <w:r w:rsidR="00793749">
        <w:t>ver on the measurable action</w:t>
      </w:r>
      <w:r w:rsidR="001A6B83">
        <w:t xml:space="preserve"> plans.</w:t>
      </w:r>
    </w:p>
    <w:p w14:paraId="3EE6E60C" w14:textId="77777777" w:rsidR="00092F4E" w:rsidRDefault="00092F4E" w:rsidP="00EB6B16">
      <w:pPr>
        <w:ind w:right="261"/>
      </w:pPr>
    </w:p>
    <w:p w14:paraId="424DF14A" w14:textId="5EA48384" w:rsidR="003C34B9" w:rsidRDefault="003C34B9" w:rsidP="003C34B9">
      <w:pPr>
        <w:ind w:right="261"/>
      </w:pPr>
      <w:r>
        <w:t>A Horizon Scanning session took place with the Executive in September 2023</w:t>
      </w:r>
      <w:r w:rsidR="00957564">
        <w:t>.  I</w:t>
      </w:r>
      <w:r>
        <w:t>n advance the corporate risk team reviewed a wide range of external sources, including e.g.</w:t>
      </w:r>
      <w:r w:rsidRPr="00AB51AC">
        <w:rPr>
          <w:color w:val="auto"/>
          <w:szCs w:val="22"/>
        </w:rPr>
        <w:t xml:space="preserve"> </w:t>
      </w:r>
      <w:hyperlink r:id="rId20" w:history="1">
        <w:r w:rsidRPr="00AB51AC">
          <w:rPr>
            <w:rStyle w:val="Hyperlink"/>
            <w:szCs w:val="22"/>
          </w:rPr>
          <w:t>Audit Scotland’s Local Government Overview 2023</w:t>
        </w:r>
      </w:hyperlink>
      <w:r w:rsidRPr="00AB51AC">
        <w:rPr>
          <w:color w:val="auto"/>
          <w:szCs w:val="22"/>
        </w:rPr>
        <w:t xml:space="preserve"> and</w:t>
      </w:r>
      <w:r>
        <w:rPr>
          <w:color w:val="auto"/>
          <w:szCs w:val="22"/>
        </w:rPr>
        <w:t xml:space="preserve"> the </w:t>
      </w:r>
      <w:hyperlink r:id="rId21" w:history="1">
        <w:r w:rsidRPr="00AB51AC">
          <w:rPr>
            <w:rStyle w:val="Hyperlink"/>
            <w:szCs w:val="22"/>
          </w:rPr>
          <w:t>Word Economic Forum’s Global Risk Report 202</w:t>
        </w:r>
        <w:r>
          <w:rPr>
            <w:rStyle w:val="Hyperlink"/>
            <w:szCs w:val="22"/>
          </w:rPr>
          <w:t>3</w:t>
        </w:r>
      </w:hyperlink>
      <w:r>
        <w:rPr>
          <w:rStyle w:val="Hyperlink"/>
          <w:szCs w:val="22"/>
        </w:rPr>
        <w:t xml:space="preserve">.  </w:t>
      </w:r>
      <w:r w:rsidRPr="002F185B">
        <w:rPr>
          <w:rStyle w:val="Hyperlink"/>
          <w:color w:val="auto"/>
          <w:szCs w:val="22"/>
          <w:u w:val="none"/>
        </w:rPr>
        <w:t>The horizon scanning will be</w:t>
      </w:r>
      <w:r w:rsidRPr="001A6B83">
        <w:rPr>
          <w:rStyle w:val="Hyperlink"/>
          <w:color w:val="auto"/>
          <w:szCs w:val="22"/>
          <w:u w:val="none"/>
        </w:rPr>
        <w:t xml:space="preserve"> </w:t>
      </w:r>
      <w:r>
        <w:t>revisited when the Council Plan is updated (date not yet known).  More importantly, all Risk Specialists (subject experts) use a range of sources to inform the horizon scanning in their strategies and risk updates, including learning from their professional bodies.</w:t>
      </w:r>
    </w:p>
    <w:p w14:paraId="1E98069A" w14:textId="77777777" w:rsidR="003C34B9" w:rsidRDefault="003C34B9" w:rsidP="003C34B9">
      <w:pPr>
        <w:ind w:right="261"/>
      </w:pPr>
    </w:p>
    <w:p w14:paraId="5BBEDB0D" w14:textId="36B94FF3" w:rsidR="00092F4E" w:rsidRPr="00092F4E" w:rsidRDefault="00BE0E44" w:rsidP="003C2611">
      <w:r w:rsidRPr="00092F4E">
        <w:t xml:space="preserve">The </w:t>
      </w:r>
      <w:r w:rsidR="00092F4E" w:rsidRPr="00092F4E">
        <w:t>summary</w:t>
      </w:r>
      <w:r w:rsidRPr="00092F4E">
        <w:t xml:space="preserve"> below shows the most significant risks to delivering the Council Plan; and the </w:t>
      </w:r>
      <w:r w:rsidR="00092F4E" w:rsidRPr="001A6B83">
        <w:t xml:space="preserve">CRR High </w:t>
      </w:r>
      <w:r w:rsidR="001A4223" w:rsidRPr="001A6B83">
        <w:t xml:space="preserve">Risk </w:t>
      </w:r>
      <w:r w:rsidRPr="001A6B83">
        <w:t>Details (</w:t>
      </w:r>
      <w:hyperlink r:id="rId22" w:history="1">
        <w:r w:rsidRPr="001A6B83">
          <w:rPr>
            <w:rStyle w:val="Hyperlink"/>
          </w:rPr>
          <w:t>here</w:t>
        </w:r>
      </w:hyperlink>
      <w:r w:rsidRPr="001A6B83">
        <w:t>)</w:t>
      </w:r>
      <w:r w:rsidRPr="00092F4E">
        <w:t xml:space="preserve"> </w:t>
      </w:r>
      <w:r w:rsidR="00092F4E">
        <w:t>details</w:t>
      </w:r>
      <w:r w:rsidRPr="00092F4E">
        <w:t xml:space="preserve"> the</w:t>
      </w:r>
      <w:r w:rsidR="00092F4E" w:rsidRPr="00092F4E">
        <w:t xml:space="preserve"> </w:t>
      </w:r>
      <w:r w:rsidRPr="00092F4E">
        <w:t>risks</w:t>
      </w:r>
      <w:r w:rsidR="001A4223" w:rsidRPr="00092F4E">
        <w:t>,</w:t>
      </w:r>
      <w:r w:rsidRPr="00092F4E">
        <w:t xml:space="preserve"> controls, and </w:t>
      </w:r>
      <w:r w:rsidR="00092F4E" w:rsidRPr="00092F4E">
        <w:t>action plans</w:t>
      </w:r>
      <w:r w:rsidR="00092F4E">
        <w:t>:</w:t>
      </w:r>
    </w:p>
    <w:p w14:paraId="486433C8" w14:textId="77777777" w:rsidR="00BE0E44" w:rsidRDefault="00BE0E44" w:rsidP="00EB6B16">
      <w:pPr>
        <w:ind w:right="261"/>
      </w:pPr>
    </w:p>
    <w:tbl>
      <w:tblPr>
        <w:tblStyle w:val="TableGrid"/>
        <w:tblW w:w="9634" w:type="dxa"/>
        <w:tblLook w:val="04A0" w:firstRow="1" w:lastRow="0" w:firstColumn="1" w:lastColumn="0" w:noHBand="0" w:noVBand="1"/>
      </w:tblPr>
      <w:tblGrid>
        <w:gridCol w:w="2547"/>
        <w:gridCol w:w="7087"/>
      </w:tblGrid>
      <w:tr w:rsidR="00D9002F" w:rsidRPr="008B76B9" w14:paraId="45512781" w14:textId="77777777" w:rsidTr="0075553B">
        <w:tc>
          <w:tcPr>
            <w:tcW w:w="2547" w:type="dxa"/>
            <w:shd w:val="clear" w:color="auto" w:fill="00B0F0"/>
          </w:tcPr>
          <w:p w14:paraId="2EABA63A" w14:textId="1CAEFC3E" w:rsidR="00531012" w:rsidRPr="00E41B00" w:rsidRDefault="0075553B" w:rsidP="003C2611">
            <w:pPr>
              <w:rPr>
                <w:color w:val="3B3838" w:themeColor="background2" w:themeShade="40"/>
              </w:rPr>
            </w:pPr>
            <w:r w:rsidRPr="00E41B00">
              <w:rPr>
                <w:color w:val="3B3838" w:themeColor="background2" w:themeShade="40"/>
              </w:rPr>
              <w:t>Priorities</w:t>
            </w:r>
          </w:p>
        </w:tc>
        <w:tc>
          <w:tcPr>
            <w:tcW w:w="7087" w:type="dxa"/>
            <w:shd w:val="clear" w:color="auto" w:fill="00B0F0"/>
          </w:tcPr>
          <w:p w14:paraId="3DFD9BDC" w14:textId="3E7071F8" w:rsidR="00D9002F" w:rsidRPr="00E41B00" w:rsidRDefault="00531012" w:rsidP="008E36CE">
            <w:pPr>
              <w:rPr>
                <w:color w:val="3B3838" w:themeColor="background2" w:themeShade="40"/>
              </w:rPr>
            </w:pPr>
            <w:r w:rsidRPr="00E41B00">
              <w:rPr>
                <w:color w:val="3B3838" w:themeColor="background2" w:themeShade="40"/>
              </w:rPr>
              <w:t xml:space="preserve">High Corporate Risks </w:t>
            </w:r>
            <w:r w:rsidR="003C4492" w:rsidRPr="00E41B00">
              <w:rPr>
                <w:color w:val="3B3838" w:themeColor="background2" w:themeShade="40"/>
              </w:rPr>
              <w:t xml:space="preserve">to delivering </w:t>
            </w:r>
            <w:r w:rsidR="00FA4FEB" w:rsidRPr="00E41B00">
              <w:rPr>
                <w:color w:val="3B3838" w:themeColor="background2" w:themeShade="40"/>
              </w:rPr>
              <w:t>Council Plan</w:t>
            </w:r>
            <w:r w:rsidR="003C4492" w:rsidRPr="00E41B00">
              <w:rPr>
                <w:color w:val="3B3838" w:themeColor="background2" w:themeShade="40"/>
              </w:rPr>
              <w:t xml:space="preserve"> priorities</w:t>
            </w:r>
          </w:p>
        </w:tc>
      </w:tr>
      <w:tr w:rsidR="003C4492" w:rsidRPr="008B76B9" w14:paraId="05A3F929" w14:textId="77777777" w:rsidTr="008B76B9">
        <w:tc>
          <w:tcPr>
            <w:tcW w:w="2547" w:type="dxa"/>
            <w:shd w:val="clear" w:color="auto" w:fill="FFC000"/>
          </w:tcPr>
          <w:p w14:paraId="4FA6FAC1" w14:textId="561AC8EE" w:rsidR="00531012" w:rsidRPr="00B16F50" w:rsidRDefault="003C4492" w:rsidP="003C2611">
            <w:pPr>
              <w:rPr>
                <w:color w:val="44546A" w:themeColor="text2"/>
              </w:rPr>
            </w:pPr>
            <w:r w:rsidRPr="00B16F50">
              <w:rPr>
                <w:color w:val="44546A" w:themeColor="text2"/>
              </w:rPr>
              <w:t>Supporting a stronger and more healthy communities</w:t>
            </w:r>
          </w:p>
        </w:tc>
        <w:tc>
          <w:tcPr>
            <w:tcW w:w="7087" w:type="dxa"/>
            <w:shd w:val="clear" w:color="auto" w:fill="auto"/>
          </w:tcPr>
          <w:p w14:paraId="531B9792" w14:textId="77777777" w:rsidR="00531012" w:rsidRPr="003C2611" w:rsidRDefault="003C4492" w:rsidP="004A3011">
            <w:pPr>
              <w:pStyle w:val="ListParagraph"/>
              <w:numPr>
                <w:ilvl w:val="0"/>
                <w:numId w:val="19"/>
              </w:numPr>
              <w:ind w:left="312"/>
              <w:rPr>
                <w:color w:val="auto"/>
              </w:rPr>
            </w:pPr>
            <w:r w:rsidRPr="003C2611">
              <w:rPr>
                <w:color w:val="auto"/>
              </w:rPr>
              <w:t>Counter-Terrorism and Organised Crime</w:t>
            </w:r>
          </w:p>
          <w:p w14:paraId="68CF13F8" w14:textId="77777777" w:rsidR="003C4492" w:rsidRPr="003C2611" w:rsidRDefault="003C4492" w:rsidP="004A3011">
            <w:pPr>
              <w:pStyle w:val="ListParagraph"/>
              <w:numPr>
                <w:ilvl w:val="0"/>
                <w:numId w:val="19"/>
              </w:numPr>
              <w:ind w:left="312"/>
              <w:rPr>
                <w:color w:val="auto"/>
              </w:rPr>
            </w:pPr>
            <w:r w:rsidRPr="003C2611">
              <w:rPr>
                <w:color w:val="auto"/>
              </w:rPr>
              <w:t>National Care Service</w:t>
            </w:r>
          </w:p>
          <w:p w14:paraId="56BB77E1" w14:textId="77777777" w:rsidR="003C4492" w:rsidRPr="003C2611" w:rsidRDefault="003C4492" w:rsidP="004A3011">
            <w:pPr>
              <w:pStyle w:val="ListParagraph"/>
              <w:numPr>
                <w:ilvl w:val="0"/>
                <w:numId w:val="19"/>
              </w:numPr>
              <w:ind w:left="312"/>
              <w:rPr>
                <w:color w:val="auto"/>
              </w:rPr>
            </w:pPr>
            <w:r w:rsidRPr="003C2611">
              <w:rPr>
                <w:color w:val="auto"/>
              </w:rPr>
              <w:t>Health and Social Care Transformation</w:t>
            </w:r>
          </w:p>
          <w:p w14:paraId="4AAE2831" w14:textId="77777777" w:rsidR="003C4492" w:rsidRPr="003C2611" w:rsidRDefault="003C4492" w:rsidP="004A3011">
            <w:pPr>
              <w:pStyle w:val="ListParagraph"/>
              <w:numPr>
                <w:ilvl w:val="0"/>
                <w:numId w:val="19"/>
              </w:numPr>
              <w:ind w:left="312"/>
              <w:rPr>
                <w:color w:val="auto"/>
              </w:rPr>
            </w:pPr>
            <w:r w:rsidRPr="003C2611">
              <w:rPr>
                <w:color w:val="auto"/>
              </w:rPr>
              <w:t>Housing Fire Safety – possible changes in standards</w:t>
            </w:r>
          </w:p>
          <w:p w14:paraId="24E44D69" w14:textId="77777777" w:rsidR="003C4492" w:rsidRPr="003C2611" w:rsidRDefault="003C4492" w:rsidP="004A3011">
            <w:pPr>
              <w:pStyle w:val="ListParagraph"/>
              <w:numPr>
                <w:ilvl w:val="0"/>
                <w:numId w:val="19"/>
              </w:numPr>
              <w:ind w:left="312"/>
              <w:rPr>
                <w:color w:val="auto"/>
              </w:rPr>
            </w:pPr>
            <w:r w:rsidRPr="003C2611">
              <w:rPr>
                <w:color w:val="auto"/>
              </w:rPr>
              <w:t>Public Protection: Harm to Adults/Children</w:t>
            </w:r>
          </w:p>
          <w:p w14:paraId="3DAE2084" w14:textId="77777777" w:rsidR="003C4492" w:rsidRPr="003C2611" w:rsidRDefault="003C4492" w:rsidP="004A3011">
            <w:pPr>
              <w:pStyle w:val="ListParagraph"/>
              <w:numPr>
                <w:ilvl w:val="0"/>
                <w:numId w:val="19"/>
              </w:numPr>
              <w:ind w:left="312"/>
              <w:rPr>
                <w:color w:val="auto"/>
              </w:rPr>
            </w:pPr>
            <w:r w:rsidRPr="003C2611">
              <w:rPr>
                <w:color w:val="auto"/>
              </w:rPr>
              <w:t>Resilience: Business Continuity and Partnerships</w:t>
            </w:r>
          </w:p>
          <w:p w14:paraId="53EEA7B0" w14:textId="046997D0" w:rsidR="003C4492" w:rsidRPr="008B76B9" w:rsidRDefault="003C4492" w:rsidP="00AB51AC">
            <w:pPr>
              <w:ind w:left="312"/>
              <w:rPr>
                <w:color w:val="auto"/>
              </w:rPr>
            </w:pPr>
          </w:p>
        </w:tc>
      </w:tr>
      <w:tr w:rsidR="00EB6B16" w:rsidRPr="008B76B9" w14:paraId="198D409E" w14:textId="77777777" w:rsidTr="008B76B9">
        <w:tc>
          <w:tcPr>
            <w:tcW w:w="2547" w:type="dxa"/>
            <w:shd w:val="clear" w:color="auto" w:fill="E61085"/>
          </w:tcPr>
          <w:p w14:paraId="10BDD946" w14:textId="3BFA93C7" w:rsidR="003C4492" w:rsidRPr="00B16F50" w:rsidRDefault="003C4492" w:rsidP="003C2611">
            <w:pPr>
              <w:rPr>
                <w:color w:val="auto"/>
              </w:rPr>
            </w:pPr>
            <w:r w:rsidRPr="00B16F50">
              <w:rPr>
                <w:color w:val="auto"/>
              </w:rPr>
              <w:t>Promoting opportunities and educational attainment and reducing inequalities</w:t>
            </w:r>
          </w:p>
        </w:tc>
        <w:tc>
          <w:tcPr>
            <w:tcW w:w="7087" w:type="dxa"/>
            <w:shd w:val="clear" w:color="auto" w:fill="auto"/>
          </w:tcPr>
          <w:p w14:paraId="24168573" w14:textId="2C1A251D" w:rsidR="003C4492" w:rsidRPr="003C2611" w:rsidRDefault="003C4492" w:rsidP="004A3011">
            <w:pPr>
              <w:pStyle w:val="ListParagraph"/>
              <w:numPr>
                <w:ilvl w:val="0"/>
                <w:numId w:val="19"/>
              </w:numPr>
              <w:ind w:left="312"/>
              <w:rPr>
                <w:color w:val="auto"/>
              </w:rPr>
            </w:pPr>
            <w:r w:rsidRPr="003C2611">
              <w:rPr>
                <w:color w:val="auto"/>
              </w:rPr>
              <w:t>Equalities Duties</w:t>
            </w:r>
          </w:p>
          <w:p w14:paraId="49D4F41A" w14:textId="1C6DC404" w:rsidR="003C4492" w:rsidRPr="003C2611" w:rsidRDefault="003C4492" w:rsidP="004A3011">
            <w:pPr>
              <w:pStyle w:val="ListParagraph"/>
              <w:numPr>
                <w:ilvl w:val="0"/>
                <w:numId w:val="19"/>
              </w:numPr>
              <w:ind w:left="312"/>
              <w:rPr>
                <w:color w:val="auto"/>
              </w:rPr>
            </w:pPr>
            <w:r w:rsidRPr="003C2611">
              <w:rPr>
                <w:color w:val="auto"/>
              </w:rPr>
              <w:t>Poverty: impacts on children and families</w:t>
            </w:r>
          </w:p>
          <w:p w14:paraId="09FB1F8A" w14:textId="25138A68" w:rsidR="00EB6B16" w:rsidRPr="003C2611" w:rsidRDefault="00EB6B16" w:rsidP="004A3011">
            <w:pPr>
              <w:pStyle w:val="ListParagraph"/>
              <w:numPr>
                <w:ilvl w:val="0"/>
                <w:numId w:val="19"/>
              </w:numPr>
              <w:ind w:left="312"/>
              <w:rPr>
                <w:color w:val="auto"/>
              </w:rPr>
            </w:pPr>
            <w:r w:rsidRPr="003C2611">
              <w:rPr>
                <w:color w:val="auto"/>
              </w:rPr>
              <w:t>Services to Asylum Seekers</w:t>
            </w:r>
          </w:p>
          <w:p w14:paraId="5E450993" w14:textId="5AFE6639" w:rsidR="003C4492" w:rsidRPr="008B76B9" w:rsidRDefault="003C4492" w:rsidP="00AB51AC">
            <w:pPr>
              <w:ind w:left="312"/>
              <w:rPr>
                <w:color w:val="auto"/>
              </w:rPr>
            </w:pPr>
          </w:p>
        </w:tc>
      </w:tr>
      <w:tr w:rsidR="00D9002F" w:rsidRPr="008B76B9" w14:paraId="42A6FCDF" w14:textId="77777777" w:rsidTr="008B76B9">
        <w:tc>
          <w:tcPr>
            <w:tcW w:w="2547" w:type="dxa"/>
            <w:shd w:val="clear" w:color="auto" w:fill="ACD975"/>
          </w:tcPr>
          <w:p w14:paraId="207F6116" w14:textId="3BA7FAA6" w:rsidR="003C4492" w:rsidRPr="00B16F50" w:rsidRDefault="003C4492" w:rsidP="003C2611">
            <w:pPr>
              <w:rPr>
                <w:color w:val="44546A" w:themeColor="text2"/>
              </w:rPr>
            </w:pPr>
            <w:r w:rsidRPr="00B16F50">
              <w:rPr>
                <w:color w:val="44546A" w:themeColor="text2"/>
              </w:rPr>
              <w:t>Supporting a thriving economy and green transition</w:t>
            </w:r>
          </w:p>
        </w:tc>
        <w:tc>
          <w:tcPr>
            <w:tcW w:w="7087" w:type="dxa"/>
            <w:shd w:val="clear" w:color="auto" w:fill="auto"/>
          </w:tcPr>
          <w:p w14:paraId="47686BE3" w14:textId="5DF22ADC" w:rsidR="003C4492" w:rsidRPr="003C2611" w:rsidRDefault="003C4492" w:rsidP="004A3011">
            <w:pPr>
              <w:pStyle w:val="ListParagraph"/>
              <w:numPr>
                <w:ilvl w:val="0"/>
                <w:numId w:val="19"/>
              </w:numPr>
              <w:ind w:left="312"/>
              <w:rPr>
                <w:color w:val="auto"/>
              </w:rPr>
            </w:pPr>
            <w:r w:rsidRPr="003C2611">
              <w:rPr>
                <w:color w:val="auto"/>
              </w:rPr>
              <w:t>Climate Change</w:t>
            </w:r>
            <w:r w:rsidR="00EB6B16" w:rsidRPr="003C2611">
              <w:rPr>
                <w:color w:val="auto"/>
              </w:rPr>
              <w:t xml:space="preserve"> (including Council and Area emissions)</w:t>
            </w:r>
          </w:p>
          <w:p w14:paraId="7E97708F" w14:textId="62DD220C" w:rsidR="003C4492" w:rsidRPr="003C2611" w:rsidRDefault="003C4492" w:rsidP="004A3011">
            <w:pPr>
              <w:pStyle w:val="ListParagraph"/>
              <w:numPr>
                <w:ilvl w:val="0"/>
                <w:numId w:val="19"/>
              </w:numPr>
              <w:ind w:left="312"/>
              <w:rPr>
                <w:color w:val="auto"/>
              </w:rPr>
            </w:pPr>
            <w:r w:rsidRPr="003C2611">
              <w:rPr>
                <w:color w:val="auto"/>
              </w:rPr>
              <w:t>Major Capital Projects (including Growth Deal)</w:t>
            </w:r>
          </w:p>
          <w:p w14:paraId="308A85E7" w14:textId="3F0D5C37" w:rsidR="003C4492" w:rsidRPr="003C2611" w:rsidRDefault="003C4492" w:rsidP="004A3011">
            <w:pPr>
              <w:pStyle w:val="ListParagraph"/>
              <w:numPr>
                <w:ilvl w:val="0"/>
                <w:numId w:val="19"/>
              </w:numPr>
              <w:ind w:left="312"/>
              <w:rPr>
                <w:color w:val="auto"/>
              </w:rPr>
            </w:pPr>
            <w:r w:rsidRPr="003C2611">
              <w:rPr>
                <w:color w:val="auto"/>
              </w:rPr>
              <w:t>Sustainable Growth (including Economy and Skills)</w:t>
            </w:r>
          </w:p>
          <w:p w14:paraId="51BC5F75" w14:textId="3A2601F0" w:rsidR="002071E9" w:rsidRPr="008B76B9" w:rsidRDefault="002071E9" w:rsidP="00AB51AC">
            <w:pPr>
              <w:ind w:left="312"/>
              <w:rPr>
                <w:color w:val="auto"/>
              </w:rPr>
            </w:pPr>
          </w:p>
        </w:tc>
      </w:tr>
      <w:tr w:rsidR="00EB6B16" w:rsidRPr="008B76B9" w14:paraId="3C5CAD57" w14:textId="77777777" w:rsidTr="008B76B9">
        <w:tc>
          <w:tcPr>
            <w:tcW w:w="2547" w:type="dxa"/>
            <w:shd w:val="clear" w:color="auto" w:fill="00B0F0"/>
          </w:tcPr>
          <w:p w14:paraId="16693745" w14:textId="77777777" w:rsidR="00EB6B16" w:rsidRPr="00E41B00" w:rsidRDefault="00EB6B16" w:rsidP="003C2611">
            <w:pPr>
              <w:rPr>
                <w:color w:val="3B3838" w:themeColor="background2" w:themeShade="40"/>
              </w:rPr>
            </w:pPr>
            <w:r w:rsidRPr="00E41B00">
              <w:rPr>
                <w:color w:val="3B3838" w:themeColor="background2" w:themeShade="40"/>
              </w:rPr>
              <w:t>Our Enablers:</w:t>
            </w:r>
          </w:p>
          <w:p w14:paraId="7E63667E" w14:textId="35904BDA" w:rsidR="00EB6B16" w:rsidRPr="00E41B00" w:rsidRDefault="00EB6B16" w:rsidP="003C2611">
            <w:pPr>
              <w:rPr>
                <w:color w:val="3B3838" w:themeColor="background2" w:themeShade="40"/>
              </w:rPr>
            </w:pPr>
            <w:r w:rsidRPr="00E41B00">
              <w:rPr>
                <w:color w:val="3B3838" w:themeColor="background2" w:themeShade="40"/>
              </w:rPr>
              <w:t>Financial Sustainability</w:t>
            </w:r>
            <w:r w:rsidR="00660744" w:rsidRPr="00E41B00">
              <w:rPr>
                <w:color w:val="3B3838" w:themeColor="background2" w:themeShade="40"/>
              </w:rPr>
              <w:t>,</w:t>
            </w:r>
          </w:p>
          <w:p w14:paraId="306909CF" w14:textId="17FD8465" w:rsidR="00660744" w:rsidRPr="00E41B00" w:rsidRDefault="00EB6B16" w:rsidP="00660744">
            <w:pPr>
              <w:rPr>
                <w:color w:val="3B3838" w:themeColor="background2" w:themeShade="40"/>
              </w:rPr>
            </w:pPr>
            <w:r w:rsidRPr="00E41B00">
              <w:rPr>
                <w:color w:val="3B3838" w:themeColor="background2" w:themeShade="40"/>
              </w:rPr>
              <w:t>Transformation</w:t>
            </w:r>
            <w:r w:rsidR="00660744" w:rsidRPr="00E41B00">
              <w:rPr>
                <w:color w:val="3B3838" w:themeColor="background2" w:themeShade="40"/>
              </w:rPr>
              <w:t xml:space="preserve">, </w:t>
            </w:r>
          </w:p>
          <w:p w14:paraId="01731F7A" w14:textId="51409490" w:rsidR="00EB6B16" w:rsidRPr="00E41B00" w:rsidRDefault="00EB6B16" w:rsidP="003C2611">
            <w:pPr>
              <w:rPr>
                <w:color w:val="3B3838" w:themeColor="background2" w:themeShade="40"/>
              </w:rPr>
            </w:pPr>
            <w:r w:rsidRPr="00E41B00">
              <w:rPr>
                <w:color w:val="3B3838" w:themeColor="background2" w:themeShade="40"/>
              </w:rPr>
              <w:t>Workforce</w:t>
            </w:r>
            <w:r w:rsidR="00660744" w:rsidRPr="00E41B00">
              <w:rPr>
                <w:color w:val="3B3838" w:themeColor="background2" w:themeShade="40"/>
              </w:rPr>
              <w:t>, and</w:t>
            </w:r>
            <w:r w:rsidRPr="00E41B00">
              <w:rPr>
                <w:color w:val="3B3838" w:themeColor="background2" w:themeShade="40"/>
              </w:rPr>
              <w:t xml:space="preserve"> </w:t>
            </w:r>
          </w:p>
          <w:p w14:paraId="25685295" w14:textId="15E9EE73" w:rsidR="00EB6B16" w:rsidRPr="00E41B00" w:rsidRDefault="00EB6B16" w:rsidP="003C2611">
            <w:pPr>
              <w:rPr>
                <w:color w:val="3B3838" w:themeColor="background2" w:themeShade="40"/>
              </w:rPr>
            </w:pPr>
            <w:r w:rsidRPr="00E41B00">
              <w:rPr>
                <w:color w:val="3B3838" w:themeColor="background2" w:themeShade="40"/>
              </w:rPr>
              <w:t>Quality Services</w:t>
            </w:r>
          </w:p>
        </w:tc>
        <w:tc>
          <w:tcPr>
            <w:tcW w:w="7087" w:type="dxa"/>
            <w:shd w:val="clear" w:color="auto" w:fill="auto"/>
          </w:tcPr>
          <w:p w14:paraId="1E748773" w14:textId="77777777" w:rsidR="00EB6B16" w:rsidRPr="003C2611" w:rsidRDefault="00EB6B16" w:rsidP="004A3011">
            <w:pPr>
              <w:pStyle w:val="ListParagraph"/>
              <w:numPr>
                <w:ilvl w:val="0"/>
                <w:numId w:val="19"/>
              </w:numPr>
              <w:ind w:left="312"/>
              <w:rPr>
                <w:color w:val="auto"/>
              </w:rPr>
            </w:pPr>
            <w:r w:rsidRPr="003C2611">
              <w:rPr>
                <w:color w:val="auto"/>
              </w:rPr>
              <w:t>Financial Sustainability</w:t>
            </w:r>
          </w:p>
          <w:p w14:paraId="0290FD4F" w14:textId="77777777" w:rsidR="00EB6B16" w:rsidRPr="003C2611" w:rsidRDefault="00EB6B16" w:rsidP="004A3011">
            <w:pPr>
              <w:pStyle w:val="ListParagraph"/>
              <w:numPr>
                <w:ilvl w:val="0"/>
                <w:numId w:val="19"/>
              </w:numPr>
              <w:ind w:left="312"/>
              <w:rPr>
                <w:color w:val="auto"/>
              </w:rPr>
            </w:pPr>
            <w:r w:rsidRPr="003C2611">
              <w:rPr>
                <w:color w:val="auto"/>
              </w:rPr>
              <w:t>Health, Safety, and Wellbeing</w:t>
            </w:r>
          </w:p>
          <w:p w14:paraId="4AE0C417" w14:textId="18EC28A2" w:rsidR="00EB6B16" w:rsidRPr="003C2611" w:rsidRDefault="00EB6B16" w:rsidP="004A3011">
            <w:pPr>
              <w:pStyle w:val="ListParagraph"/>
              <w:numPr>
                <w:ilvl w:val="0"/>
                <w:numId w:val="19"/>
              </w:numPr>
              <w:ind w:left="312"/>
              <w:rPr>
                <w:color w:val="auto"/>
              </w:rPr>
            </w:pPr>
            <w:r w:rsidRPr="003C2611">
              <w:rPr>
                <w:color w:val="auto"/>
              </w:rPr>
              <w:t xml:space="preserve">Leadership, Governance, and Decision Making </w:t>
            </w:r>
          </w:p>
          <w:p w14:paraId="2E34D859" w14:textId="2B5CC60C" w:rsidR="00EB6B16" w:rsidRPr="008B76B9" w:rsidRDefault="00EB6B16" w:rsidP="00AB51AC">
            <w:pPr>
              <w:ind w:left="312"/>
              <w:rPr>
                <w:color w:val="auto"/>
              </w:rPr>
            </w:pPr>
          </w:p>
        </w:tc>
      </w:tr>
    </w:tbl>
    <w:p w14:paraId="3A9A0131" w14:textId="77777777" w:rsidR="00A570C8" w:rsidRDefault="00A570C8" w:rsidP="00501470">
      <w:pPr>
        <w:ind w:right="261"/>
      </w:pPr>
    </w:p>
    <w:p w14:paraId="2C6633AC" w14:textId="77777777" w:rsidR="003C34B9" w:rsidRPr="00E41B00" w:rsidRDefault="003C34B9" w:rsidP="00910683">
      <w:pPr>
        <w:pStyle w:val="Heading2"/>
        <w:rPr>
          <w:color w:val="004E9A"/>
        </w:rPr>
        <w:sectPr w:rsidR="003C34B9" w:rsidRPr="00E41B00" w:rsidSect="006B7646">
          <w:pgSz w:w="11906" w:h="16838"/>
          <w:pgMar w:top="709" w:right="566" w:bottom="426" w:left="1440" w:header="284" w:footer="259" w:gutter="0"/>
          <w:cols w:space="708"/>
          <w:docGrid w:linePitch="360"/>
        </w:sectPr>
      </w:pPr>
    </w:p>
    <w:p w14:paraId="2E8FF0C1" w14:textId="7F29DAD1" w:rsidR="00574562" w:rsidRPr="00E41B00" w:rsidRDefault="003C34B9" w:rsidP="00910683">
      <w:pPr>
        <w:pStyle w:val="Heading2"/>
        <w:rPr>
          <w:color w:val="004E9A"/>
        </w:rPr>
      </w:pPr>
      <w:bookmarkStart w:id="9" w:name="_Toc177571548"/>
      <w:bookmarkEnd w:id="6"/>
      <w:r w:rsidRPr="00E41B00">
        <w:rPr>
          <w:color w:val="004E9A"/>
        </w:rPr>
        <w:lastRenderedPageBreak/>
        <w:t xml:space="preserve">Action </w:t>
      </w:r>
      <w:r w:rsidR="009F1FEE" w:rsidRPr="00E41B00">
        <w:rPr>
          <w:color w:val="004E9A"/>
        </w:rPr>
        <w:t>3</w:t>
      </w:r>
      <w:r w:rsidR="00D1274E" w:rsidRPr="00E41B00">
        <w:rPr>
          <w:color w:val="004E9A"/>
        </w:rPr>
        <w:t xml:space="preserve">: </w:t>
      </w:r>
      <w:r w:rsidR="006D7CBF" w:rsidRPr="00E41B00">
        <w:rPr>
          <w:color w:val="004E9A"/>
        </w:rPr>
        <w:t xml:space="preserve"> </w:t>
      </w:r>
      <w:r w:rsidR="00910683" w:rsidRPr="00E41B00">
        <w:rPr>
          <w:color w:val="004E9A"/>
        </w:rPr>
        <w:t>Assurance</w:t>
      </w:r>
      <w:r w:rsidR="00A131B0" w:rsidRPr="00E41B00">
        <w:rPr>
          <w:color w:val="004E9A"/>
        </w:rPr>
        <w:t xml:space="preserve">: </w:t>
      </w:r>
      <w:r w:rsidR="002F185B" w:rsidRPr="00E41B00">
        <w:rPr>
          <w:color w:val="004E9A"/>
        </w:rPr>
        <w:t>Implement effective risk assurance and governance.</w:t>
      </w:r>
      <w:bookmarkEnd w:id="9"/>
    </w:p>
    <w:p w14:paraId="3260664B" w14:textId="77777777" w:rsidR="00D1274E" w:rsidRDefault="00D1274E" w:rsidP="00574562">
      <w:pPr>
        <w:pStyle w:val="Heading"/>
        <w:keepLines/>
        <w:ind w:left="0" w:right="402" w:firstLine="0"/>
        <w:rPr>
          <w:rFonts w:ascii="Montserrat Light" w:eastAsia="Calibri" w:hAnsi="Montserrat Light" w:cs="Arial"/>
          <w:b w:val="0"/>
          <w:lang w:eastAsia="en-US"/>
        </w:rPr>
      </w:pPr>
    </w:p>
    <w:tbl>
      <w:tblPr>
        <w:tblStyle w:val="TableGrid"/>
        <w:tblW w:w="0" w:type="auto"/>
        <w:shd w:val="clear" w:color="auto" w:fill="0070C0"/>
        <w:tblLook w:val="04A0" w:firstRow="1" w:lastRow="0" w:firstColumn="1" w:lastColumn="0" w:noHBand="0" w:noVBand="1"/>
      </w:tblPr>
      <w:tblGrid>
        <w:gridCol w:w="9890"/>
      </w:tblGrid>
      <w:tr w:rsidR="00AE67CA" w:rsidRPr="00AE67CA" w14:paraId="47CD6FD8" w14:textId="77777777" w:rsidTr="00AE67CA">
        <w:tc>
          <w:tcPr>
            <w:tcW w:w="9890" w:type="dxa"/>
            <w:shd w:val="clear" w:color="auto" w:fill="0070C0"/>
          </w:tcPr>
          <w:p w14:paraId="3E0E5B32" w14:textId="427E145A" w:rsidR="00AE67CA" w:rsidRPr="00AE67CA" w:rsidRDefault="003C34B9" w:rsidP="00032D47">
            <w:pPr>
              <w:rPr>
                <w:szCs w:val="24"/>
              </w:rPr>
            </w:pPr>
            <w:r>
              <w:rPr>
                <w:b/>
                <w:bCs/>
                <w:color w:val="FFFFFF" w:themeColor="background1"/>
              </w:rPr>
              <w:t>This action includes:</w:t>
            </w:r>
          </w:p>
        </w:tc>
      </w:tr>
    </w:tbl>
    <w:p w14:paraId="24205C05" w14:textId="77777777" w:rsidR="00AE67CA" w:rsidRPr="00AE67CA" w:rsidRDefault="00AE67CA" w:rsidP="00AE67CA">
      <w:pPr>
        <w:ind w:left="426" w:hanging="426"/>
        <w:rPr>
          <w:szCs w:val="24"/>
        </w:rPr>
      </w:pPr>
    </w:p>
    <w:p w14:paraId="0014BF81" w14:textId="79DF90B7" w:rsidR="00AE67CA" w:rsidRPr="00AE67CA" w:rsidRDefault="00AE67CA" w:rsidP="007C4051">
      <w:pPr>
        <w:pStyle w:val="ListParagraph"/>
        <w:numPr>
          <w:ilvl w:val="0"/>
          <w:numId w:val="33"/>
        </w:numPr>
        <w:rPr>
          <w:rFonts w:eastAsia="Arial"/>
          <w:szCs w:val="24"/>
        </w:rPr>
      </w:pPr>
      <w:r w:rsidRPr="00AE67CA">
        <w:rPr>
          <w:rFonts w:eastAsia="Arial"/>
          <w:szCs w:val="24"/>
        </w:rPr>
        <w:t>Corporate Risk Reports are provided to the Executive (6 monthly) and the Audit Committee</w:t>
      </w:r>
      <w:r>
        <w:rPr>
          <w:rFonts w:eastAsia="Arial"/>
          <w:szCs w:val="24"/>
        </w:rPr>
        <w:t xml:space="preserve"> (</w:t>
      </w:r>
      <w:r w:rsidRPr="00AE67CA">
        <w:rPr>
          <w:rFonts w:eastAsia="Arial"/>
          <w:szCs w:val="24"/>
        </w:rPr>
        <w:t>Annually</w:t>
      </w:r>
      <w:proofErr w:type="gramStart"/>
      <w:r w:rsidRPr="00AE67CA">
        <w:rPr>
          <w:rFonts w:eastAsia="Arial"/>
          <w:szCs w:val="24"/>
        </w:rPr>
        <w:t>)</w:t>
      </w:r>
      <w:r>
        <w:rPr>
          <w:rFonts w:eastAsia="Arial"/>
          <w:szCs w:val="24"/>
        </w:rPr>
        <w:t>;</w:t>
      </w:r>
      <w:proofErr w:type="gramEnd"/>
    </w:p>
    <w:p w14:paraId="377AAAE8" w14:textId="406809C3" w:rsidR="00AE67CA" w:rsidRPr="00AE67CA" w:rsidRDefault="00AE67CA" w:rsidP="007C4051">
      <w:pPr>
        <w:pStyle w:val="ListParagraph"/>
        <w:numPr>
          <w:ilvl w:val="0"/>
          <w:numId w:val="33"/>
        </w:numPr>
        <w:rPr>
          <w:rFonts w:eastAsia="Arial"/>
          <w:bCs/>
          <w:szCs w:val="24"/>
        </w:rPr>
      </w:pPr>
      <w:r w:rsidRPr="00AE67CA">
        <w:rPr>
          <w:rFonts w:eastAsia="Arial"/>
          <w:bCs/>
          <w:szCs w:val="24"/>
        </w:rPr>
        <w:t xml:space="preserve">Annual </w:t>
      </w:r>
      <w:r w:rsidR="00E362EA">
        <w:rPr>
          <w:rFonts w:eastAsia="Arial"/>
          <w:bCs/>
          <w:szCs w:val="24"/>
        </w:rPr>
        <w:t xml:space="preserve">Governance </w:t>
      </w:r>
      <w:r w:rsidRPr="00AE67CA">
        <w:rPr>
          <w:rFonts w:eastAsia="Arial"/>
          <w:bCs/>
          <w:szCs w:val="24"/>
        </w:rPr>
        <w:t>Statements</w:t>
      </w:r>
      <w:r w:rsidR="00E362EA" w:rsidRPr="00E362EA">
        <w:rPr>
          <w:rFonts w:eastAsia="Arial"/>
          <w:szCs w:val="24"/>
        </w:rPr>
        <w:t xml:space="preserve"> </w:t>
      </w:r>
      <w:r w:rsidR="00E362EA">
        <w:rPr>
          <w:rFonts w:eastAsia="Arial"/>
          <w:szCs w:val="24"/>
        </w:rPr>
        <w:t xml:space="preserve">(AGS) </w:t>
      </w:r>
      <w:r w:rsidR="00E362EA" w:rsidRPr="00AE67CA">
        <w:rPr>
          <w:rFonts w:eastAsia="Arial"/>
          <w:szCs w:val="24"/>
        </w:rPr>
        <w:t xml:space="preserve">are provided to </w:t>
      </w:r>
      <w:r w:rsidR="00E362EA">
        <w:rPr>
          <w:rFonts w:eastAsia="Arial"/>
          <w:szCs w:val="24"/>
        </w:rPr>
        <w:t xml:space="preserve">the </w:t>
      </w:r>
      <w:r w:rsidR="00E362EA" w:rsidRPr="00AE67CA">
        <w:rPr>
          <w:rFonts w:eastAsia="Arial"/>
          <w:szCs w:val="24"/>
        </w:rPr>
        <w:t>Audit Committee</w:t>
      </w:r>
      <w:r w:rsidR="00E362EA">
        <w:rPr>
          <w:rFonts w:eastAsia="Arial"/>
          <w:szCs w:val="24"/>
        </w:rPr>
        <w:t xml:space="preserve"> (</w:t>
      </w:r>
      <w:r w:rsidR="00E362EA" w:rsidRPr="00AE67CA">
        <w:rPr>
          <w:rFonts w:eastAsia="Arial"/>
          <w:szCs w:val="24"/>
        </w:rPr>
        <w:t>Annually)</w:t>
      </w:r>
      <w:r w:rsidR="00E362EA">
        <w:rPr>
          <w:rFonts w:eastAsia="Arial"/>
          <w:szCs w:val="24"/>
        </w:rPr>
        <w:t>; and there are also 6-monthly AGS Action Plan Updates; and</w:t>
      </w:r>
    </w:p>
    <w:p w14:paraId="118151BD" w14:textId="77777777" w:rsidR="00E362EA" w:rsidRDefault="00E362EA" w:rsidP="00E362EA">
      <w:pPr>
        <w:pStyle w:val="ListParagraph"/>
        <w:numPr>
          <w:ilvl w:val="1"/>
          <w:numId w:val="33"/>
        </w:numPr>
      </w:pPr>
      <w:r>
        <w:t>Governance Groups (GGs) will complete Annual Self-Assessments including a review of their      purpose, strategy / plans, and effectiveness.</w:t>
      </w:r>
    </w:p>
    <w:p w14:paraId="3DBD578F" w14:textId="77777777" w:rsidR="00AE67CA" w:rsidRDefault="00AE67CA" w:rsidP="00AE67CA">
      <w:pPr>
        <w:rPr>
          <w:rFonts w:eastAsia="Arial"/>
          <w:szCs w:val="24"/>
        </w:rPr>
      </w:pPr>
    </w:p>
    <w:tbl>
      <w:tblPr>
        <w:tblStyle w:val="TableGrid"/>
        <w:tblW w:w="0" w:type="auto"/>
        <w:shd w:val="clear" w:color="auto" w:fill="0070C0"/>
        <w:tblLook w:val="04A0" w:firstRow="1" w:lastRow="0" w:firstColumn="1" w:lastColumn="0" w:noHBand="0" w:noVBand="1"/>
      </w:tblPr>
      <w:tblGrid>
        <w:gridCol w:w="9890"/>
      </w:tblGrid>
      <w:tr w:rsidR="00CF5A52" w:rsidRPr="00CF5A52" w14:paraId="23C3E06B" w14:textId="77777777" w:rsidTr="00CF5A52">
        <w:tc>
          <w:tcPr>
            <w:tcW w:w="9890" w:type="dxa"/>
            <w:shd w:val="clear" w:color="auto" w:fill="0070C0"/>
          </w:tcPr>
          <w:p w14:paraId="2892D360" w14:textId="455A584E" w:rsidR="00CF5A52" w:rsidRPr="00CF5A52" w:rsidRDefault="003C34B9" w:rsidP="001743B1">
            <w:pPr>
              <w:rPr>
                <w:rFonts w:eastAsia="Arial"/>
                <w:b/>
                <w:bCs/>
                <w:color w:val="FFFFFF" w:themeColor="background1"/>
                <w:szCs w:val="24"/>
              </w:rPr>
            </w:pPr>
            <w:r>
              <w:rPr>
                <w:b/>
                <w:bCs/>
                <w:color w:val="FFFFFF" w:themeColor="background1"/>
                <w:szCs w:val="24"/>
              </w:rPr>
              <w:t>Progress to Date and Priorities in 2024/25</w:t>
            </w:r>
          </w:p>
        </w:tc>
      </w:tr>
    </w:tbl>
    <w:p w14:paraId="4F5D62D5" w14:textId="77777777" w:rsidR="00CF5A52" w:rsidRPr="00AE67CA" w:rsidRDefault="00CF5A52" w:rsidP="00AE67CA">
      <w:pPr>
        <w:rPr>
          <w:rFonts w:eastAsia="Arial"/>
          <w:szCs w:val="24"/>
        </w:rPr>
      </w:pPr>
    </w:p>
    <w:p w14:paraId="1C679CEB" w14:textId="77777777" w:rsidR="003C34B9" w:rsidRDefault="00574562" w:rsidP="00574562">
      <w:pPr>
        <w:pStyle w:val="Heading"/>
        <w:keepLines/>
        <w:ind w:left="0" w:right="261" w:firstLine="0"/>
        <w:rPr>
          <w:rFonts w:ascii="Arial" w:eastAsia="Calibri" w:hAnsi="Arial" w:cs="Arial"/>
          <w:b w:val="0"/>
          <w:szCs w:val="24"/>
          <w:lang w:eastAsia="en-US"/>
        </w:rPr>
      </w:pPr>
      <w:r w:rsidRPr="00AB51AC">
        <w:rPr>
          <w:rFonts w:ascii="Arial" w:eastAsia="Calibri" w:hAnsi="Arial" w:cs="Arial"/>
          <w:b w:val="0"/>
          <w:szCs w:val="24"/>
          <w:lang w:eastAsia="en-US"/>
        </w:rPr>
        <w:t xml:space="preserve">The </w:t>
      </w:r>
      <w:hyperlink r:id="rId23" w:history="1">
        <w:r w:rsidRPr="00AB51AC">
          <w:rPr>
            <w:rStyle w:val="Hyperlink"/>
            <w:rFonts w:ascii="Arial" w:eastAsia="Calibri" w:hAnsi="Arial" w:cs="Arial"/>
            <w:b w:val="0"/>
            <w:szCs w:val="24"/>
            <w:lang w:eastAsia="en-US"/>
          </w:rPr>
          <w:t>Policy</w:t>
        </w:r>
      </w:hyperlink>
      <w:r w:rsidRPr="00AB51AC">
        <w:rPr>
          <w:rFonts w:ascii="Arial" w:eastAsia="Calibri" w:hAnsi="Arial" w:cs="Arial"/>
          <w:b w:val="0"/>
          <w:szCs w:val="24"/>
          <w:lang w:eastAsia="en-US"/>
        </w:rPr>
        <w:t xml:space="preserve"> sets out the approach to risk governance, including</w:t>
      </w:r>
      <w:r w:rsidR="003C34B9">
        <w:rPr>
          <w:rFonts w:ascii="Arial" w:eastAsia="Calibri" w:hAnsi="Arial" w:cs="Arial"/>
          <w:b w:val="0"/>
          <w:szCs w:val="24"/>
          <w:lang w:eastAsia="en-US"/>
        </w:rPr>
        <w:t>:</w:t>
      </w:r>
    </w:p>
    <w:p w14:paraId="537A7A92" w14:textId="77777777" w:rsidR="003C34B9" w:rsidRDefault="003C34B9" w:rsidP="00574562">
      <w:pPr>
        <w:pStyle w:val="Heading"/>
        <w:keepLines/>
        <w:ind w:left="0" w:right="261" w:firstLine="0"/>
        <w:rPr>
          <w:rFonts w:ascii="Arial" w:eastAsia="Calibri" w:hAnsi="Arial" w:cs="Arial"/>
          <w:b w:val="0"/>
          <w:szCs w:val="24"/>
          <w:lang w:eastAsia="en-US"/>
        </w:rPr>
      </w:pPr>
    </w:p>
    <w:p w14:paraId="1FC4F26C" w14:textId="35FA7058" w:rsidR="003C34B9" w:rsidRPr="003C34B9" w:rsidRDefault="003C34B9" w:rsidP="007C4051">
      <w:pPr>
        <w:pStyle w:val="Heading"/>
        <w:keepLines/>
        <w:numPr>
          <w:ilvl w:val="0"/>
          <w:numId w:val="34"/>
        </w:numPr>
        <w:ind w:left="360" w:right="261"/>
        <w:rPr>
          <w:rFonts w:ascii="Arial" w:eastAsia="Calibri" w:hAnsi="Arial" w:cs="Arial"/>
          <w:b w:val="0"/>
          <w:szCs w:val="24"/>
          <w:lang w:eastAsia="en-US"/>
        </w:rPr>
      </w:pPr>
      <w:r w:rsidRPr="003C34B9">
        <w:rPr>
          <w:rFonts w:ascii="Arial" w:eastAsia="Calibri" w:hAnsi="Arial" w:cs="Arial"/>
          <w:b w:val="0"/>
          <w:szCs w:val="24"/>
          <w:lang w:eastAsia="en-US"/>
        </w:rPr>
        <w:t>Roles of Committees</w:t>
      </w:r>
      <w:r>
        <w:rPr>
          <w:rFonts w:ascii="Arial" w:eastAsia="Calibri" w:hAnsi="Arial" w:cs="Arial"/>
          <w:b w:val="0"/>
          <w:szCs w:val="24"/>
          <w:lang w:eastAsia="en-US"/>
        </w:rPr>
        <w:t xml:space="preserve">, </w:t>
      </w:r>
      <w:r w:rsidRPr="007C4051">
        <w:rPr>
          <w:rFonts w:ascii="Arial" w:eastAsia="Calibri" w:hAnsi="Arial" w:cs="Arial"/>
          <w:b w:val="0"/>
        </w:rPr>
        <w:t>CMT</w:t>
      </w:r>
      <w:r w:rsidR="00957564">
        <w:rPr>
          <w:rFonts w:ascii="Arial" w:eastAsia="Calibri" w:hAnsi="Arial" w:cs="Arial"/>
          <w:b w:val="0"/>
        </w:rPr>
        <w:t>,</w:t>
      </w:r>
      <w:r w:rsidRPr="007C4051">
        <w:rPr>
          <w:rFonts w:ascii="Arial" w:eastAsia="Calibri" w:hAnsi="Arial" w:cs="Arial"/>
          <w:b w:val="0"/>
        </w:rPr>
        <w:t xml:space="preserve"> Service </w:t>
      </w:r>
      <w:r w:rsidRPr="003C34B9">
        <w:rPr>
          <w:rFonts w:ascii="Arial" w:eastAsia="Calibri" w:hAnsi="Arial" w:cs="Arial"/>
          <w:b w:val="0"/>
          <w:szCs w:val="24"/>
          <w:lang w:eastAsia="en-US"/>
        </w:rPr>
        <w:t xml:space="preserve">Management Teams, </w:t>
      </w:r>
      <w:r w:rsidR="00957564">
        <w:rPr>
          <w:rFonts w:ascii="Arial" w:eastAsia="Calibri" w:hAnsi="Arial" w:cs="Arial"/>
          <w:b w:val="0"/>
          <w:szCs w:val="24"/>
          <w:lang w:eastAsia="en-US"/>
        </w:rPr>
        <w:t xml:space="preserve">and </w:t>
      </w:r>
      <w:r>
        <w:rPr>
          <w:rFonts w:ascii="Arial" w:eastAsia="Calibri" w:hAnsi="Arial" w:cs="Arial"/>
          <w:b w:val="0"/>
          <w:szCs w:val="24"/>
          <w:lang w:eastAsia="en-US"/>
        </w:rPr>
        <w:t xml:space="preserve">others e.g. Partnership </w:t>
      </w:r>
      <w:proofErr w:type="gramStart"/>
      <w:r>
        <w:rPr>
          <w:rFonts w:ascii="Arial" w:eastAsia="Calibri" w:hAnsi="Arial" w:cs="Arial"/>
          <w:b w:val="0"/>
          <w:szCs w:val="24"/>
          <w:lang w:eastAsia="en-US"/>
        </w:rPr>
        <w:t>Boards;</w:t>
      </w:r>
      <w:proofErr w:type="gramEnd"/>
    </w:p>
    <w:p w14:paraId="03B93A78" w14:textId="77777777" w:rsidR="003C34B9" w:rsidRDefault="003C34B9" w:rsidP="003C34B9">
      <w:pPr>
        <w:pStyle w:val="Heading"/>
        <w:keepLines/>
        <w:ind w:left="0" w:right="261" w:firstLine="0"/>
        <w:rPr>
          <w:rFonts w:ascii="Arial" w:eastAsia="Calibri" w:hAnsi="Arial" w:cs="Arial"/>
          <w:b w:val="0"/>
          <w:szCs w:val="24"/>
          <w:lang w:eastAsia="en-US"/>
        </w:rPr>
      </w:pPr>
    </w:p>
    <w:p w14:paraId="441DB6A8" w14:textId="63B4A8CC" w:rsidR="003C34B9" w:rsidRDefault="00574562" w:rsidP="003C34B9">
      <w:pPr>
        <w:pStyle w:val="Heading"/>
        <w:keepLines/>
        <w:numPr>
          <w:ilvl w:val="0"/>
          <w:numId w:val="34"/>
        </w:numPr>
        <w:ind w:left="360" w:right="261"/>
        <w:rPr>
          <w:rFonts w:ascii="Arial" w:eastAsia="Calibri" w:hAnsi="Arial" w:cs="Arial"/>
          <w:b w:val="0"/>
          <w:szCs w:val="24"/>
          <w:lang w:eastAsia="en-US"/>
        </w:rPr>
      </w:pPr>
      <w:r w:rsidRPr="00AB51AC">
        <w:rPr>
          <w:rFonts w:ascii="Arial" w:eastAsia="Calibri" w:hAnsi="Arial" w:cs="Arial"/>
          <w:b w:val="0"/>
          <w:szCs w:val="24"/>
          <w:lang w:eastAsia="en-US"/>
        </w:rPr>
        <w:t>Risk and Assurance Reporting Framework</w:t>
      </w:r>
      <w:r w:rsidR="003C34B9">
        <w:rPr>
          <w:rFonts w:ascii="Arial" w:eastAsia="Calibri" w:hAnsi="Arial" w:cs="Arial"/>
          <w:b w:val="0"/>
          <w:szCs w:val="24"/>
          <w:lang w:eastAsia="en-US"/>
        </w:rPr>
        <w:t xml:space="preserve">, including how risks should be </w:t>
      </w:r>
      <w:proofErr w:type="gramStart"/>
      <w:r w:rsidR="003C34B9">
        <w:rPr>
          <w:rFonts w:ascii="Arial" w:eastAsia="Calibri" w:hAnsi="Arial" w:cs="Arial"/>
          <w:b w:val="0"/>
          <w:szCs w:val="24"/>
          <w:lang w:eastAsia="en-US"/>
        </w:rPr>
        <w:t>escalated;</w:t>
      </w:r>
      <w:proofErr w:type="gramEnd"/>
    </w:p>
    <w:p w14:paraId="1188C48B" w14:textId="77777777" w:rsidR="003C34B9" w:rsidRDefault="003C34B9" w:rsidP="007C4051">
      <w:pPr>
        <w:pStyle w:val="ListParagraph"/>
        <w:rPr>
          <w:szCs w:val="24"/>
        </w:rPr>
      </w:pPr>
    </w:p>
    <w:p w14:paraId="7D4314FA" w14:textId="5F8F36A4" w:rsidR="003C34B9" w:rsidRDefault="003C34B9" w:rsidP="007C4051">
      <w:pPr>
        <w:pStyle w:val="Heading"/>
        <w:keepLines/>
        <w:numPr>
          <w:ilvl w:val="0"/>
          <w:numId w:val="34"/>
        </w:numPr>
        <w:ind w:left="360" w:right="261"/>
        <w:rPr>
          <w:rFonts w:ascii="Arial" w:eastAsia="Calibri" w:hAnsi="Arial" w:cs="Arial"/>
          <w:b w:val="0"/>
          <w:szCs w:val="24"/>
          <w:lang w:eastAsia="en-US"/>
        </w:rPr>
      </w:pPr>
      <w:r>
        <w:rPr>
          <w:rFonts w:ascii="Arial" w:eastAsia="Calibri" w:hAnsi="Arial" w:cs="Arial"/>
          <w:b w:val="0"/>
          <w:szCs w:val="24"/>
          <w:lang w:eastAsia="en-US"/>
        </w:rPr>
        <w:t>Assurance 3 lines of defence, including:</w:t>
      </w:r>
    </w:p>
    <w:p w14:paraId="40D251F2" w14:textId="77777777" w:rsidR="003C34B9" w:rsidRDefault="003C34B9" w:rsidP="00574562">
      <w:pPr>
        <w:pStyle w:val="Heading"/>
        <w:keepLines/>
        <w:ind w:left="0" w:right="261" w:firstLine="0"/>
        <w:rPr>
          <w:rFonts w:ascii="Arial" w:eastAsia="Calibri" w:hAnsi="Arial" w:cs="Arial"/>
          <w:b w:val="0"/>
          <w:szCs w:val="24"/>
          <w:lang w:eastAsia="en-US"/>
        </w:rPr>
      </w:pPr>
    </w:p>
    <w:p w14:paraId="400B5168" w14:textId="23256F2C" w:rsidR="003C34B9" w:rsidRDefault="003C34B9" w:rsidP="00B21639">
      <w:pPr>
        <w:pStyle w:val="ListParagraph"/>
        <w:numPr>
          <w:ilvl w:val="0"/>
          <w:numId w:val="34"/>
        </w:numPr>
        <w:rPr>
          <w:szCs w:val="22"/>
        </w:rPr>
      </w:pPr>
      <w:r w:rsidRPr="00B21639">
        <w:rPr>
          <w:szCs w:val="22"/>
        </w:rPr>
        <w:t>1</w:t>
      </w:r>
      <w:r w:rsidRPr="007C4051">
        <w:rPr>
          <w:szCs w:val="22"/>
          <w:vertAlign w:val="superscript"/>
        </w:rPr>
        <w:t>st</w:t>
      </w:r>
      <w:r w:rsidRPr="00B21639">
        <w:rPr>
          <w:szCs w:val="22"/>
        </w:rPr>
        <w:t xml:space="preserve"> Line</w:t>
      </w:r>
      <w:r w:rsidR="00B21639" w:rsidRPr="00B21639">
        <w:rPr>
          <w:szCs w:val="22"/>
        </w:rPr>
        <w:t xml:space="preserve"> </w:t>
      </w:r>
      <w:r w:rsidR="00B21639">
        <w:rPr>
          <w:szCs w:val="22"/>
        </w:rPr>
        <w:t>–</w:t>
      </w:r>
      <w:r w:rsidR="00B21639" w:rsidRPr="00B21639">
        <w:rPr>
          <w:szCs w:val="22"/>
        </w:rPr>
        <w:t xml:space="preserve"> </w:t>
      </w:r>
      <w:r w:rsidRPr="00B21639">
        <w:rPr>
          <w:szCs w:val="22"/>
        </w:rPr>
        <w:t>Management</w:t>
      </w:r>
      <w:r w:rsidR="00B21639">
        <w:rPr>
          <w:szCs w:val="22"/>
        </w:rPr>
        <w:t xml:space="preserve"> (including Directors and Service Managers)</w:t>
      </w:r>
      <w:r w:rsidRPr="00B21639">
        <w:rPr>
          <w:szCs w:val="22"/>
        </w:rPr>
        <w:t xml:space="preserve">:  provide Services to clients and manage risks to delivering </w:t>
      </w:r>
      <w:proofErr w:type="gramStart"/>
      <w:r w:rsidRPr="00B21639">
        <w:rPr>
          <w:szCs w:val="22"/>
        </w:rPr>
        <w:t>objectives</w:t>
      </w:r>
      <w:r w:rsidR="00B21639">
        <w:rPr>
          <w:szCs w:val="22"/>
        </w:rPr>
        <w:t>;</w:t>
      </w:r>
      <w:proofErr w:type="gramEnd"/>
    </w:p>
    <w:p w14:paraId="00C89414" w14:textId="77777777" w:rsidR="00B21639" w:rsidRPr="00B21639" w:rsidRDefault="00B21639" w:rsidP="007C4051">
      <w:pPr>
        <w:pStyle w:val="ListParagraph"/>
        <w:rPr>
          <w:szCs w:val="22"/>
        </w:rPr>
      </w:pPr>
    </w:p>
    <w:p w14:paraId="4E2B9504" w14:textId="269D2803" w:rsidR="00B21639" w:rsidRDefault="00B21639" w:rsidP="00B21639">
      <w:pPr>
        <w:pStyle w:val="ListParagraph"/>
        <w:numPr>
          <w:ilvl w:val="0"/>
          <w:numId w:val="34"/>
        </w:numPr>
        <w:rPr>
          <w:szCs w:val="22"/>
        </w:rPr>
      </w:pPr>
      <w:r w:rsidRPr="007C4051">
        <w:rPr>
          <w:szCs w:val="22"/>
        </w:rPr>
        <w:t>2</w:t>
      </w:r>
      <w:r w:rsidRPr="007C4051">
        <w:rPr>
          <w:szCs w:val="22"/>
          <w:vertAlign w:val="superscript"/>
        </w:rPr>
        <w:t>nd</w:t>
      </w:r>
      <w:r w:rsidRPr="007C4051">
        <w:rPr>
          <w:szCs w:val="22"/>
        </w:rPr>
        <w:t xml:space="preserve"> Line:  Risk Support</w:t>
      </w:r>
      <w:r>
        <w:rPr>
          <w:szCs w:val="22"/>
        </w:rPr>
        <w:t xml:space="preserve"> (including Corporate Risk, Subject Experts, and Governance Groups)</w:t>
      </w:r>
      <w:r w:rsidRPr="007C4051">
        <w:rPr>
          <w:szCs w:val="22"/>
        </w:rPr>
        <w:t>:  provide expertise, support, monitoring, and challenge on managing risk-related matters</w:t>
      </w:r>
      <w:r>
        <w:rPr>
          <w:szCs w:val="22"/>
        </w:rPr>
        <w:t>; and</w:t>
      </w:r>
    </w:p>
    <w:p w14:paraId="132F16FD" w14:textId="7900A9DE" w:rsidR="003C34B9" w:rsidRPr="00B21639" w:rsidRDefault="003C34B9" w:rsidP="007C4051">
      <w:pPr>
        <w:pStyle w:val="Heading"/>
        <w:keepLines/>
        <w:ind w:left="720" w:right="261" w:firstLine="0"/>
        <w:rPr>
          <w:rFonts w:ascii="Arial" w:eastAsia="Calibri" w:hAnsi="Arial" w:cs="Arial"/>
          <w:b w:val="0"/>
          <w:szCs w:val="22"/>
          <w:lang w:eastAsia="en-US"/>
        </w:rPr>
      </w:pPr>
    </w:p>
    <w:p w14:paraId="4D4D0235" w14:textId="77C99772" w:rsidR="00B21639" w:rsidRDefault="00B21639" w:rsidP="00B21639">
      <w:pPr>
        <w:pStyle w:val="ListParagraph"/>
        <w:numPr>
          <w:ilvl w:val="0"/>
          <w:numId w:val="34"/>
        </w:numPr>
        <w:rPr>
          <w:szCs w:val="22"/>
        </w:rPr>
      </w:pPr>
      <w:r w:rsidRPr="00B21639">
        <w:rPr>
          <w:szCs w:val="22"/>
        </w:rPr>
        <w:t>3</w:t>
      </w:r>
      <w:r w:rsidRPr="007C4051">
        <w:rPr>
          <w:szCs w:val="22"/>
          <w:vertAlign w:val="superscript"/>
        </w:rPr>
        <w:t>rd</w:t>
      </w:r>
      <w:r w:rsidRPr="00B21639">
        <w:rPr>
          <w:szCs w:val="22"/>
        </w:rPr>
        <w:t xml:space="preserve"> Line: </w:t>
      </w:r>
      <w:r w:rsidRPr="007C4051">
        <w:rPr>
          <w:szCs w:val="22"/>
        </w:rPr>
        <w:t>Independent Assurance</w:t>
      </w:r>
      <w:r>
        <w:rPr>
          <w:szCs w:val="22"/>
        </w:rPr>
        <w:t xml:space="preserve"> (including Internal and External Audit, and Inspection Bodies)</w:t>
      </w:r>
      <w:r w:rsidRPr="007C4051">
        <w:rPr>
          <w:szCs w:val="22"/>
        </w:rPr>
        <w:t>:  provide independent and objective assurance and advice on all matters related to achievement of objectives</w:t>
      </w:r>
      <w:r>
        <w:rPr>
          <w:szCs w:val="22"/>
        </w:rPr>
        <w:t>.</w:t>
      </w:r>
    </w:p>
    <w:p w14:paraId="4BB9CF0C" w14:textId="1E5A7CDA" w:rsidR="003C34B9" w:rsidRPr="007C4051" w:rsidRDefault="003C34B9" w:rsidP="007C4051">
      <w:pPr>
        <w:pStyle w:val="Heading"/>
        <w:keepLines/>
        <w:ind w:left="720" w:right="261" w:firstLine="0"/>
        <w:rPr>
          <w:rFonts w:ascii="Arial" w:eastAsia="Calibri" w:hAnsi="Arial" w:cs="Arial"/>
          <w:b w:val="0"/>
          <w:szCs w:val="22"/>
          <w:lang w:eastAsia="en-US"/>
        </w:rPr>
      </w:pPr>
    </w:p>
    <w:p w14:paraId="53BFDCB6" w14:textId="77777777" w:rsidR="0022356D" w:rsidRPr="00436D5A" w:rsidRDefault="0022356D" w:rsidP="0022356D">
      <w:pPr>
        <w:tabs>
          <w:tab w:val="left" w:pos="9356"/>
        </w:tabs>
        <w:ind w:right="119"/>
        <w:rPr>
          <w:bCs/>
          <w:color w:val="auto"/>
        </w:rPr>
      </w:pPr>
      <w:r>
        <w:rPr>
          <w:bCs/>
          <w:color w:val="auto"/>
        </w:rPr>
        <w:t xml:space="preserve">To help Elected Members scrutinise risks effectively, </w:t>
      </w:r>
      <w:r>
        <w:t>the following briefings have been provided</w:t>
      </w:r>
      <w:r>
        <w:rPr>
          <w:bCs/>
        </w:rPr>
        <w:t>:</w:t>
      </w:r>
    </w:p>
    <w:p w14:paraId="02830178" w14:textId="77777777" w:rsidR="0022356D" w:rsidRDefault="0022356D" w:rsidP="0022356D">
      <w:pPr>
        <w:tabs>
          <w:tab w:val="left" w:pos="9356"/>
        </w:tabs>
        <w:ind w:right="119"/>
      </w:pPr>
    </w:p>
    <w:p w14:paraId="76DC19C7" w14:textId="77777777" w:rsidR="0022356D" w:rsidRDefault="0022356D" w:rsidP="0022356D">
      <w:pPr>
        <w:pStyle w:val="ListParagraph"/>
        <w:numPr>
          <w:ilvl w:val="0"/>
          <w:numId w:val="5"/>
        </w:numPr>
        <w:tabs>
          <w:tab w:val="left" w:pos="9356"/>
        </w:tabs>
        <w:ind w:right="119"/>
      </w:pPr>
      <w:r>
        <w:t>June 2023:  Audit Committee Introduction (as part of Member Inductions</w:t>
      </w:r>
      <w:proofErr w:type="gramStart"/>
      <w:r>
        <w:t>);</w:t>
      </w:r>
      <w:proofErr w:type="gramEnd"/>
      <w:r w:rsidRPr="004637E9">
        <w:t xml:space="preserve"> </w:t>
      </w:r>
    </w:p>
    <w:p w14:paraId="74D5E88B" w14:textId="77777777" w:rsidR="0022356D" w:rsidRPr="004637E9" w:rsidRDefault="0022356D" w:rsidP="0022356D">
      <w:pPr>
        <w:pStyle w:val="ListParagraph"/>
        <w:numPr>
          <w:ilvl w:val="0"/>
          <w:numId w:val="5"/>
        </w:numPr>
        <w:tabs>
          <w:tab w:val="left" w:pos="9356"/>
        </w:tabs>
        <w:ind w:right="119"/>
      </w:pPr>
      <w:r>
        <w:t>September 2023:  Executive</w:t>
      </w:r>
      <w:r w:rsidRPr="004637E9">
        <w:t xml:space="preserve"> Horizon Scanning</w:t>
      </w:r>
      <w:r>
        <w:t xml:space="preserve"> of</w:t>
      </w:r>
      <w:r w:rsidRPr="004637E9">
        <w:t xml:space="preserve"> risks to delivering the Council Plan;</w:t>
      </w:r>
      <w:r>
        <w:t xml:space="preserve"> and</w:t>
      </w:r>
    </w:p>
    <w:p w14:paraId="4D471A00" w14:textId="77777777" w:rsidR="0022356D" w:rsidRDefault="0022356D" w:rsidP="0022356D">
      <w:pPr>
        <w:pStyle w:val="ListParagraph"/>
        <w:numPr>
          <w:ilvl w:val="0"/>
          <w:numId w:val="5"/>
        </w:numPr>
        <w:tabs>
          <w:tab w:val="left" w:pos="9356"/>
        </w:tabs>
        <w:ind w:right="119"/>
      </w:pPr>
      <w:r>
        <w:t xml:space="preserve">November 2023 and May 2024:  Executive Briefing </w:t>
      </w:r>
      <w:r w:rsidRPr="004637E9">
        <w:t xml:space="preserve">in advance of </w:t>
      </w:r>
      <w:r>
        <w:t>CRM updates.</w:t>
      </w:r>
    </w:p>
    <w:p w14:paraId="3BBD556E" w14:textId="77777777" w:rsidR="0022356D" w:rsidRDefault="0022356D" w:rsidP="0022356D">
      <w:pPr>
        <w:tabs>
          <w:tab w:val="left" w:pos="9356"/>
        </w:tabs>
        <w:ind w:right="119"/>
      </w:pPr>
    </w:p>
    <w:p w14:paraId="69833839" w14:textId="6061566E" w:rsidR="0022356D" w:rsidRDefault="0022356D" w:rsidP="0022356D">
      <w:pPr>
        <w:tabs>
          <w:tab w:val="left" w:pos="9356"/>
        </w:tabs>
        <w:ind w:right="119"/>
      </w:pPr>
      <w:r>
        <w:t>In addition, Audit Committee members have received briefings from both Internal and External Audit.  Attendance at all risk briefings, however, is low (usually no more than 25%-50%) and e-learning needs to be completed by all Elected Members during 2024/25 so that they fully understand the Policy and their respective roles within it.</w:t>
      </w:r>
    </w:p>
    <w:p w14:paraId="4AE79401" w14:textId="77777777" w:rsidR="0022356D" w:rsidRDefault="0022356D" w:rsidP="00FB471A">
      <w:pPr>
        <w:pStyle w:val="Heading"/>
        <w:keepLines/>
        <w:ind w:left="0" w:right="261" w:firstLine="0"/>
        <w:rPr>
          <w:rFonts w:ascii="Arial" w:eastAsia="Calibri" w:hAnsi="Arial" w:cs="Arial"/>
          <w:b w:val="0"/>
          <w:szCs w:val="24"/>
          <w:lang w:eastAsia="en-US"/>
        </w:rPr>
      </w:pPr>
    </w:p>
    <w:p w14:paraId="57BD8ADE" w14:textId="24BC893B" w:rsidR="00FB471A" w:rsidRDefault="00E362EA" w:rsidP="00FB471A">
      <w:pPr>
        <w:pStyle w:val="Heading"/>
        <w:keepLines/>
        <w:ind w:left="0" w:right="261" w:firstLine="0"/>
        <w:rPr>
          <w:rFonts w:ascii="Arial" w:eastAsia="Calibri" w:hAnsi="Arial" w:cs="Arial"/>
          <w:b w:val="0"/>
          <w:szCs w:val="24"/>
          <w:lang w:eastAsia="en-US"/>
        </w:rPr>
      </w:pPr>
      <w:r>
        <w:rPr>
          <w:rFonts w:ascii="Arial" w:eastAsia="Calibri" w:hAnsi="Arial" w:cs="Arial"/>
          <w:b w:val="0"/>
          <w:szCs w:val="24"/>
          <w:lang w:eastAsia="en-US"/>
        </w:rPr>
        <w:t xml:space="preserve">Assurance and governance </w:t>
      </w:r>
      <w:r w:rsidR="00B21639">
        <w:rPr>
          <w:rFonts w:ascii="Arial" w:eastAsia="Calibri" w:hAnsi="Arial" w:cs="Arial"/>
          <w:b w:val="0"/>
          <w:szCs w:val="24"/>
          <w:lang w:eastAsia="en-US"/>
        </w:rPr>
        <w:t>arrangements are broadly working well, a</w:t>
      </w:r>
      <w:r>
        <w:rPr>
          <w:rFonts w:ascii="Arial" w:eastAsia="Calibri" w:hAnsi="Arial" w:cs="Arial"/>
          <w:b w:val="0"/>
          <w:szCs w:val="24"/>
          <w:lang w:eastAsia="en-US"/>
        </w:rPr>
        <w:t>s evidenced by the wide range of assurances that feed into both the CRR and AGS.  A key improvement since April 2023 has been that Committee reports now contain clearer assurance levels and action plans.</w:t>
      </w:r>
      <w:r w:rsidR="00FB471A">
        <w:rPr>
          <w:rFonts w:ascii="Arial" w:eastAsia="Calibri" w:hAnsi="Arial" w:cs="Arial"/>
          <w:b w:val="0"/>
          <w:szCs w:val="24"/>
          <w:lang w:eastAsia="en-US"/>
        </w:rPr>
        <w:t xml:space="preserve">  Also, CMT will consider the Governance Groups’ Annual Self-Assessments by December 2025, to ensure that they have clear remits and manage risks effectively</w:t>
      </w:r>
      <w:r w:rsidR="00957564">
        <w:rPr>
          <w:rFonts w:ascii="Arial" w:eastAsia="Calibri" w:hAnsi="Arial" w:cs="Arial"/>
          <w:b w:val="0"/>
          <w:szCs w:val="24"/>
          <w:lang w:eastAsia="en-US"/>
        </w:rPr>
        <w:t>.  T</w:t>
      </w:r>
      <w:r w:rsidR="00FB471A">
        <w:rPr>
          <w:rFonts w:ascii="Arial" w:eastAsia="Calibri" w:hAnsi="Arial" w:cs="Arial"/>
          <w:b w:val="0"/>
          <w:szCs w:val="24"/>
          <w:lang w:eastAsia="en-US"/>
        </w:rPr>
        <w:t>he outcomes from these reviews will feed into the next updates to the Executive and Audit Committee in early 2025.</w:t>
      </w:r>
    </w:p>
    <w:p w14:paraId="651F708B" w14:textId="1D853DA5" w:rsidR="00E362EA" w:rsidRDefault="00E362EA" w:rsidP="00E362EA">
      <w:pPr>
        <w:pStyle w:val="Heading"/>
        <w:keepLines/>
        <w:ind w:left="0" w:right="261" w:firstLine="0"/>
        <w:rPr>
          <w:rFonts w:ascii="Arial" w:eastAsia="Calibri" w:hAnsi="Arial" w:cs="Arial"/>
          <w:b w:val="0"/>
          <w:szCs w:val="24"/>
          <w:lang w:eastAsia="en-US"/>
        </w:rPr>
      </w:pPr>
    </w:p>
    <w:p w14:paraId="227C14FA" w14:textId="54EEE2D8" w:rsidR="00B21639" w:rsidRDefault="00E362EA" w:rsidP="00E362EA">
      <w:pPr>
        <w:pStyle w:val="Heading"/>
        <w:keepLines/>
        <w:ind w:left="0" w:right="261" w:firstLine="0"/>
        <w:rPr>
          <w:rFonts w:ascii="Arial" w:eastAsia="Calibri" w:hAnsi="Arial" w:cs="Arial"/>
          <w:b w:val="0"/>
          <w:szCs w:val="24"/>
          <w:lang w:eastAsia="en-US"/>
        </w:rPr>
      </w:pPr>
      <w:r>
        <w:rPr>
          <w:rFonts w:ascii="Arial" w:eastAsia="Calibri" w:hAnsi="Arial" w:cs="Arial"/>
          <w:b w:val="0"/>
          <w:szCs w:val="24"/>
          <w:lang w:eastAsia="en-US"/>
        </w:rPr>
        <w:t xml:space="preserve">There will, however, </w:t>
      </w:r>
      <w:r w:rsidR="00B21639">
        <w:rPr>
          <w:rFonts w:ascii="Arial" w:eastAsia="Calibri" w:hAnsi="Arial" w:cs="Arial"/>
          <w:b w:val="0"/>
          <w:szCs w:val="24"/>
          <w:lang w:eastAsia="en-US"/>
        </w:rPr>
        <w:t>always be</w:t>
      </w:r>
      <w:r>
        <w:rPr>
          <w:rFonts w:ascii="Arial" w:eastAsia="Calibri" w:hAnsi="Arial" w:cs="Arial"/>
          <w:b w:val="0"/>
          <w:szCs w:val="24"/>
          <w:lang w:eastAsia="en-US"/>
        </w:rPr>
        <w:t xml:space="preserve"> some areas of unknown or limited assurance because </w:t>
      </w:r>
      <w:r w:rsidR="00B21639">
        <w:rPr>
          <w:rFonts w:ascii="Arial" w:eastAsia="Calibri" w:hAnsi="Arial" w:cs="Arial"/>
          <w:b w:val="0"/>
          <w:szCs w:val="24"/>
          <w:lang w:eastAsia="en-US"/>
        </w:rPr>
        <w:t xml:space="preserve">the </w:t>
      </w:r>
      <w:r w:rsidR="00FB471A">
        <w:rPr>
          <w:rFonts w:ascii="Arial" w:eastAsia="Calibri" w:hAnsi="Arial" w:cs="Arial"/>
          <w:b w:val="0"/>
          <w:szCs w:val="24"/>
          <w:lang w:eastAsia="en-US"/>
        </w:rPr>
        <w:t xml:space="preserve">structures, </w:t>
      </w:r>
      <w:r w:rsidR="00B21639">
        <w:rPr>
          <w:rFonts w:ascii="Arial" w:eastAsia="Calibri" w:hAnsi="Arial" w:cs="Arial"/>
          <w:b w:val="0"/>
          <w:szCs w:val="24"/>
          <w:lang w:eastAsia="en-US"/>
        </w:rPr>
        <w:t>structures, and priorities of Services, Governance Groups, and Partnerships continuously change</w:t>
      </w:r>
      <w:r w:rsidR="00FB471A">
        <w:rPr>
          <w:rFonts w:ascii="Arial" w:eastAsia="Calibri" w:hAnsi="Arial" w:cs="Arial"/>
          <w:b w:val="0"/>
          <w:szCs w:val="24"/>
          <w:lang w:eastAsia="en-US"/>
        </w:rPr>
        <w:t>;</w:t>
      </w:r>
      <w:r w:rsidR="00B21639">
        <w:rPr>
          <w:rFonts w:ascii="Arial" w:eastAsia="Calibri" w:hAnsi="Arial" w:cs="Arial"/>
          <w:b w:val="0"/>
          <w:szCs w:val="24"/>
          <w:lang w:eastAsia="en-US"/>
        </w:rPr>
        <w:t xml:space="preserve"> and </w:t>
      </w:r>
      <w:proofErr w:type="gramStart"/>
      <w:r w:rsidR="00B21639">
        <w:rPr>
          <w:rFonts w:ascii="Arial" w:eastAsia="Calibri" w:hAnsi="Arial" w:cs="Arial"/>
          <w:b w:val="0"/>
          <w:szCs w:val="24"/>
          <w:lang w:eastAsia="en-US"/>
        </w:rPr>
        <w:t>so</w:t>
      </w:r>
      <w:proofErr w:type="gramEnd"/>
      <w:r w:rsidR="00B21639">
        <w:rPr>
          <w:rFonts w:ascii="Arial" w:eastAsia="Calibri" w:hAnsi="Arial" w:cs="Arial"/>
          <w:b w:val="0"/>
          <w:szCs w:val="24"/>
          <w:lang w:eastAsia="en-US"/>
        </w:rPr>
        <w:t xml:space="preserve"> the approach to risk </w:t>
      </w:r>
      <w:r>
        <w:rPr>
          <w:rFonts w:ascii="Arial" w:eastAsia="Calibri" w:hAnsi="Arial" w:cs="Arial"/>
          <w:b w:val="0"/>
          <w:szCs w:val="24"/>
          <w:lang w:eastAsia="en-US"/>
        </w:rPr>
        <w:t xml:space="preserve">and assurance also </w:t>
      </w:r>
      <w:r w:rsidR="00B21639">
        <w:rPr>
          <w:rFonts w:ascii="Arial" w:eastAsia="Calibri" w:hAnsi="Arial" w:cs="Arial"/>
          <w:b w:val="0"/>
          <w:szCs w:val="24"/>
          <w:lang w:eastAsia="en-US"/>
        </w:rPr>
        <w:t xml:space="preserve">needs to evolve.  </w:t>
      </w:r>
    </w:p>
    <w:p w14:paraId="4ED41A57" w14:textId="77777777" w:rsidR="00E362EA" w:rsidRDefault="00E362EA" w:rsidP="00E362EA">
      <w:pPr>
        <w:pStyle w:val="Heading"/>
        <w:keepLines/>
        <w:ind w:left="0" w:right="261" w:firstLine="0"/>
        <w:rPr>
          <w:rFonts w:ascii="Arial" w:eastAsia="Calibri" w:hAnsi="Arial" w:cs="Arial"/>
          <w:b w:val="0"/>
          <w:szCs w:val="24"/>
          <w:lang w:eastAsia="en-US"/>
        </w:rPr>
      </w:pPr>
    </w:p>
    <w:p w14:paraId="2FEC5583" w14:textId="77777777" w:rsidR="00FB471A" w:rsidRDefault="00FB471A" w:rsidP="00E362EA">
      <w:pPr>
        <w:pStyle w:val="Heading"/>
        <w:keepLines/>
        <w:ind w:left="0" w:right="261" w:firstLine="0"/>
        <w:rPr>
          <w:rFonts w:ascii="Arial" w:eastAsia="Calibri" w:hAnsi="Arial" w:cs="Arial"/>
          <w:b w:val="0"/>
          <w:szCs w:val="24"/>
          <w:lang w:eastAsia="en-US"/>
        </w:rPr>
      </w:pPr>
    </w:p>
    <w:p w14:paraId="7A9BD961" w14:textId="77777777" w:rsidR="00FB471A" w:rsidRDefault="00FB471A" w:rsidP="00E362EA">
      <w:pPr>
        <w:pStyle w:val="Heading"/>
        <w:keepLines/>
        <w:ind w:left="0" w:right="261" w:firstLine="0"/>
        <w:rPr>
          <w:rFonts w:ascii="Arial" w:eastAsia="Calibri" w:hAnsi="Arial" w:cs="Arial"/>
          <w:b w:val="0"/>
          <w:szCs w:val="24"/>
          <w:lang w:eastAsia="en-US"/>
        </w:rPr>
      </w:pPr>
    </w:p>
    <w:p w14:paraId="30385840" w14:textId="77777777" w:rsidR="00957564" w:rsidRDefault="00957564" w:rsidP="00E362EA">
      <w:pPr>
        <w:pStyle w:val="Heading"/>
        <w:keepLines/>
        <w:ind w:left="0" w:right="261" w:firstLine="0"/>
        <w:rPr>
          <w:rFonts w:ascii="Arial" w:eastAsia="Calibri" w:hAnsi="Arial" w:cs="Arial"/>
          <w:b w:val="0"/>
          <w:szCs w:val="24"/>
          <w:lang w:eastAsia="en-US"/>
        </w:rPr>
      </w:pPr>
    </w:p>
    <w:p w14:paraId="15803549" w14:textId="77777777" w:rsidR="00957564" w:rsidRDefault="00957564" w:rsidP="00E362EA">
      <w:pPr>
        <w:pStyle w:val="Heading"/>
        <w:keepLines/>
        <w:ind w:left="0" w:right="261" w:firstLine="0"/>
        <w:rPr>
          <w:rFonts w:ascii="Arial" w:eastAsia="Calibri" w:hAnsi="Arial" w:cs="Arial"/>
          <w:b w:val="0"/>
          <w:szCs w:val="24"/>
          <w:lang w:eastAsia="en-US"/>
        </w:rPr>
      </w:pPr>
    </w:p>
    <w:p w14:paraId="4F7720CD" w14:textId="77777777" w:rsidR="00957564" w:rsidRDefault="00957564" w:rsidP="00E362EA">
      <w:pPr>
        <w:pStyle w:val="Heading"/>
        <w:keepLines/>
        <w:ind w:left="0" w:right="261" w:firstLine="0"/>
        <w:rPr>
          <w:rFonts w:ascii="Arial" w:eastAsia="Calibri" w:hAnsi="Arial" w:cs="Arial"/>
          <w:b w:val="0"/>
          <w:szCs w:val="24"/>
          <w:lang w:eastAsia="en-US"/>
        </w:rPr>
      </w:pPr>
    </w:p>
    <w:p w14:paraId="23FF93EF" w14:textId="77777777" w:rsidR="00957564" w:rsidRDefault="00957564" w:rsidP="00E362EA">
      <w:pPr>
        <w:pStyle w:val="Heading"/>
        <w:keepLines/>
        <w:ind w:left="0" w:right="261" w:firstLine="0"/>
        <w:rPr>
          <w:rFonts w:ascii="Arial" w:eastAsia="Calibri" w:hAnsi="Arial" w:cs="Arial"/>
          <w:b w:val="0"/>
          <w:szCs w:val="24"/>
          <w:lang w:eastAsia="en-US"/>
        </w:rPr>
      </w:pPr>
    </w:p>
    <w:p w14:paraId="11041D44" w14:textId="77777777" w:rsidR="00957564" w:rsidRDefault="00957564" w:rsidP="00E362EA">
      <w:pPr>
        <w:pStyle w:val="Heading"/>
        <w:keepLines/>
        <w:ind w:left="0" w:right="261" w:firstLine="0"/>
        <w:rPr>
          <w:rFonts w:ascii="Arial" w:eastAsia="Calibri" w:hAnsi="Arial" w:cs="Arial"/>
          <w:b w:val="0"/>
          <w:szCs w:val="24"/>
          <w:lang w:eastAsia="en-US"/>
        </w:rPr>
      </w:pPr>
    </w:p>
    <w:p w14:paraId="6A242735" w14:textId="77777777" w:rsidR="00FB471A" w:rsidRDefault="00FB471A" w:rsidP="00E362EA">
      <w:pPr>
        <w:pStyle w:val="Heading"/>
        <w:keepLines/>
        <w:ind w:left="0" w:right="261" w:firstLine="0"/>
        <w:rPr>
          <w:rFonts w:ascii="Arial" w:eastAsia="Calibri" w:hAnsi="Arial" w:cs="Arial"/>
          <w:b w:val="0"/>
          <w:szCs w:val="24"/>
          <w:lang w:eastAsia="en-US"/>
        </w:rPr>
      </w:pPr>
    </w:p>
    <w:tbl>
      <w:tblPr>
        <w:tblStyle w:val="TableGrid"/>
        <w:tblW w:w="9890" w:type="dxa"/>
        <w:shd w:val="clear" w:color="auto" w:fill="4472C4" w:themeFill="accent1"/>
        <w:tblLook w:val="04A0" w:firstRow="1" w:lastRow="0" w:firstColumn="1" w:lastColumn="0" w:noHBand="0" w:noVBand="1"/>
      </w:tblPr>
      <w:tblGrid>
        <w:gridCol w:w="9890"/>
      </w:tblGrid>
      <w:tr w:rsidR="003A624D" w:rsidRPr="003A624D" w14:paraId="49D151B7" w14:textId="77777777" w:rsidTr="003F5A47">
        <w:tc>
          <w:tcPr>
            <w:tcW w:w="9890" w:type="dxa"/>
            <w:shd w:val="clear" w:color="auto" w:fill="4472C4" w:themeFill="accent1"/>
          </w:tcPr>
          <w:p w14:paraId="457F9058" w14:textId="0E25FD8C" w:rsidR="003A624D" w:rsidRPr="003A624D" w:rsidRDefault="003A624D" w:rsidP="00FE36AE">
            <w:pPr>
              <w:pStyle w:val="Heading1"/>
            </w:pPr>
            <w:bookmarkStart w:id="10" w:name="_Toc177571549"/>
            <w:r>
              <w:rPr>
                <w:szCs w:val="24"/>
              </w:rPr>
              <w:lastRenderedPageBreak/>
              <w:t xml:space="preserve">Service </w:t>
            </w:r>
            <w:r w:rsidRPr="003A624D">
              <w:rPr>
                <w:szCs w:val="24"/>
              </w:rPr>
              <w:t xml:space="preserve">Risk </w:t>
            </w:r>
            <w:r w:rsidR="004524FF" w:rsidRPr="003A624D">
              <w:rPr>
                <w:szCs w:val="24"/>
              </w:rPr>
              <w:t>Priorit</w:t>
            </w:r>
            <w:r w:rsidR="004524FF">
              <w:rPr>
                <w:szCs w:val="24"/>
              </w:rPr>
              <w:t>ies</w:t>
            </w:r>
            <w:bookmarkEnd w:id="10"/>
            <w:r w:rsidR="004524FF">
              <w:rPr>
                <w:szCs w:val="24"/>
              </w:rPr>
              <w:t xml:space="preserve">  </w:t>
            </w:r>
          </w:p>
        </w:tc>
      </w:tr>
    </w:tbl>
    <w:p w14:paraId="31DE1EDE" w14:textId="77777777" w:rsidR="00916C15" w:rsidRDefault="00916C15" w:rsidP="00916C15">
      <w:pPr>
        <w:pStyle w:val="Heading"/>
        <w:keepLines/>
        <w:ind w:left="0" w:right="402" w:firstLine="0"/>
        <w:rPr>
          <w:rFonts w:ascii="Montserrat Light" w:eastAsia="Calibri" w:hAnsi="Montserrat Light" w:cs="Arial"/>
          <w:b w:val="0"/>
          <w:lang w:eastAsia="en-US"/>
        </w:rPr>
      </w:pPr>
    </w:p>
    <w:p w14:paraId="4BDC1260" w14:textId="6F0C6614" w:rsidR="000F7C7C" w:rsidRPr="00E41B00" w:rsidRDefault="00FB471A" w:rsidP="004B2569">
      <w:pPr>
        <w:pStyle w:val="Heading2"/>
        <w:rPr>
          <w:color w:val="004E9A"/>
        </w:rPr>
      </w:pPr>
      <w:bookmarkStart w:id="11" w:name="_Toc177571550"/>
      <w:r w:rsidRPr="00E41B00">
        <w:rPr>
          <w:color w:val="004E9A"/>
        </w:rPr>
        <w:t>Action 4</w:t>
      </w:r>
      <w:r w:rsidR="003A624D" w:rsidRPr="00E41B00">
        <w:rPr>
          <w:color w:val="004E9A"/>
        </w:rPr>
        <w:t>:  Service Risk Assurance Statement</w:t>
      </w:r>
      <w:r w:rsidR="00DB4264" w:rsidRPr="00E41B00">
        <w:rPr>
          <w:color w:val="004E9A"/>
        </w:rPr>
        <w:t>s</w:t>
      </w:r>
      <w:bookmarkEnd w:id="11"/>
    </w:p>
    <w:p w14:paraId="0F20D28A" w14:textId="2D666276" w:rsidR="003A624D" w:rsidRPr="00E41B00" w:rsidRDefault="003A624D" w:rsidP="004B2569">
      <w:pPr>
        <w:pStyle w:val="Heading2"/>
        <w:rPr>
          <w:color w:val="004E9A"/>
        </w:rPr>
      </w:pPr>
      <w:r w:rsidRPr="00E41B00">
        <w:rPr>
          <w:color w:val="004E9A"/>
        </w:rPr>
        <w:t xml:space="preserve"> </w:t>
      </w:r>
    </w:p>
    <w:tbl>
      <w:tblPr>
        <w:tblStyle w:val="TableGrid"/>
        <w:tblW w:w="0" w:type="auto"/>
        <w:shd w:val="clear" w:color="auto" w:fill="0070C0"/>
        <w:tblLook w:val="04A0" w:firstRow="1" w:lastRow="0" w:firstColumn="1" w:lastColumn="0" w:noHBand="0" w:noVBand="1"/>
      </w:tblPr>
      <w:tblGrid>
        <w:gridCol w:w="9890"/>
      </w:tblGrid>
      <w:tr w:rsidR="00DB4264" w:rsidRPr="00AE67CA" w14:paraId="38B632E9" w14:textId="77777777" w:rsidTr="00FE36AE">
        <w:tc>
          <w:tcPr>
            <w:tcW w:w="9890" w:type="dxa"/>
            <w:shd w:val="clear" w:color="auto" w:fill="0070C0"/>
          </w:tcPr>
          <w:p w14:paraId="202B5059" w14:textId="4DD24756" w:rsidR="00DB4264" w:rsidRPr="00AE67CA" w:rsidRDefault="003C34B9" w:rsidP="00FE36AE">
            <w:pPr>
              <w:rPr>
                <w:szCs w:val="24"/>
              </w:rPr>
            </w:pPr>
            <w:r>
              <w:rPr>
                <w:b/>
                <w:bCs/>
                <w:color w:val="FFFFFF" w:themeColor="background1"/>
              </w:rPr>
              <w:t>This action includes:</w:t>
            </w:r>
          </w:p>
        </w:tc>
      </w:tr>
    </w:tbl>
    <w:p w14:paraId="40CBE08C" w14:textId="77777777" w:rsidR="00DB4264" w:rsidRPr="00AE67CA" w:rsidRDefault="00DB4264" w:rsidP="00DB4264">
      <w:pPr>
        <w:ind w:left="426" w:hanging="426"/>
        <w:rPr>
          <w:szCs w:val="24"/>
        </w:rPr>
      </w:pPr>
    </w:p>
    <w:p w14:paraId="47176366" w14:textId="7331DE91" w:rsidR="000F7C7C" w:rsidRPr="00FB471A" w:rsidRDefault="000F7C7C" w:rsidP="007C4051">
      <w:pPr>
        <w:pStyle w:val="ListParagraph"/>
        <w:numPr>
          <w:ilvl w:val="0"/>
          <w:numId w:val="35"/>
        </w:numPr>
        <w:rPr>
          <w:szCs w:val="22"/>
        </w:rPr>
      </w:pPr>
      <w:r w:rsidRPr="00FB471A">
        <w:rPr>
          <w:szCs w:val="22"/>
        </w:rPr>
        <w:t xml:space="preserve">Service Risk Assurance Statements are reviewed </w:t>
      </w:r>
      <w:r w:rsidR="00957564">
        <w:rPr>
          <w:szCs w:val="22"/>
        </w:rPr>
        <w:t>q</w:t>
      </w:r>
      <w:r w:rsidRPr="00FB471A">
        <w:rPr>
          <w:szCs w:val="22"/>
        </w:rPr>
        <w:t xml:space="preserve">uarterly and link to Council </w:t>
      </w:r>
      <w:r w:rsidR="003F5A47" w:rsidRPr="00FB471A">
        <w:rPr>
          <w:szCs w:val="22"/>
        </w:rPr>
        <w:t>and</w:t>
      </w:r>
      <w:r w:rsidRPr="00FB471A">
        <w:rPr>
          <w:szCs w:val="22"/>
        </w:rPr>
        <w:t xml:space="preserve"> Service </w:t>
      </w:r>
      <w:r w:rsidR="003F5A47" w:rsidRPr="00FB471A">
        <w:rPr>
          <w:szCs w:val="22"/>
        </w:rPr>
        <w:t xml:space="preserve">Directorate </w:t>
      </w:r>
      <w:r w:rsidRPr="00FB471A">
        <w:rPr>
          <w:szCs w:val="22"/>
        </w:rPr>
        <w:t>Plans</w:t>
      </w:r>
      <w:r w:rsidR="00D06C71" w:rsidRPr="00FB471A">
        <w:rPr>
          <w:szCs w:val="22"/>
        </w:rPr>
        <w:t xml:space="preserve">, including </w:t>
      </w:r>
      <w:r w:rsidR="00FB471A">
        <w:rPr>
          <w:szCs w:val="22"/>
        </w:rPr>
        <w:t>h</w:t>
      </w:r>
      <w:r w:rsidRPr="00FB471A">
        <w:rPr>
          <w:szCs w:val="22"/>
        </w:rPr>
        <w:t xml:space="preserve">orizon </w:t>
      </w:r>
      <w:r w:rsidR="00FB471A">
        <w:rPr>
          <w:szCs w:val="22"/>
        </w:rPr>
        <w:t>s</w:t>
      </w:r>
      <w:r w:rsidR="00FB471A" w:rsidRPr="00FB471A">
        <w:rPr>
          <w:szCs w:val="22"/>
        </w:rPr>
        <w:t>canning</w:t>
      </w:r>
      <w:r w:rsidR="00FB471A">
        <w:rPr>
          <w:szCs w:val="22"/>
        </w:rPr>
        <w:t xml:space="preserve"> for new risks</w:t>
      </w:r>
      <w:r w:rsidRPr="00FB471A">
        <w:rPr>
          <w:szCs w:val="22"/>
        </w:rPr>
        <w:t xml:space="preserve"> and </w:t>
      </w:r>
      <w:r w:rsidR="00FB471A">
        <w:rPr>
          <w:szCs w:val="22"/>
        </w:rPr>
        <w:t>monitoring of risk action plans.</w:t>
      </w:r>
    </w:p>
    <w:p w14:paraId="6DF6F8E8" w14:textId="77777777" w:rsidR="000F7C7C" w:rsidRDefault="000F7C7C" w:rsidP="00DB4264">
      <w:pPr>
        <w:rPr>
          <w:rFonts w:eastAsia="Arial"/>
          <w:szCs w:val="24"/>
        </w:rPr>
      </w:pPr>
    </w:p>
    <w:tbl>
      <w:tblPr>
        <w:tblStyle w:val="TableGrid"/>
        <w:tblW w:w="0" w:type="auto"/>
        <w:shd w:val="clear" w:color="auto" w:fill="0070C0"/>
        <w:tblLook w:val="04A0" w:firstRow="1" w:lastRow="0" w:firstColumn="1" w:lastColumn="0" w:noHBand="0" w:noVBand="1"/>
      </w:tblPr>
      <w:tblGrid>
        <w:gridCol w:w="9890"/>
      </w:tblGrid>
      <w:tr w:rsidR="006D50CA" w:rsidRPr="00CF5A52" w14:paraId="17463F98" w14:textId="77777777" w:rsidTr="00FE36AE">
        <w:tc>
          <w:tcPr>
            <w:tcW w:w="9890" w:type="dxa"/>
            <w:shd w:val="clear" w:color="auto" w:fill="0070C0"/>
          </w:tcPr>
          <w:p w14:paraId="70696B4C" w14:textId="67A64A42" w:rsidR="006D50CA" w:rsidRPr="00CF5A52" w:rsidRDefault="003C34B9" w:rsidP="006D50CA">
            <w:pPr>
              <w:rPr>
                <w:rFonts w:eastAsia="Arial"/>
                <w:b/>
                <w:bCs/>
                <w:color w:val="FFFFFF" w:themeColor="background1"/>
                <w:szCs w:val="24"/>
              </w:rPr>
            </w:pPr>
            <w:r>
              <w:rPr>
                <w:b/>
                <w:bCs/>
                <w:color w:val="FFFFFF" w:themeColor="background1"/>
                <w:szCs w:val="24"/>
              </w:rPr>
              <w:t>Progress to Date and Priorities in 2024/25</w:t>
            </w:r>
          </w:p>
        </w:tc>
      </w:tr>
    </w:tbl>
    <w:p w14:paraId="2993A4F0" w14:textId="77777777" w:rsidR="00DB4264" w:rsidRPr="00DB4264" w:rsidRDefault="00DB4264" w:rsidP="00DB4264"/>
    <w:p w14:paraId="120C98FA" w14:textId="31FEE073" w:rsidR="003E599B" w:rsidRDefault="003E599B" w:rsidP="006570F8">
      <w:pPr>
        <w:ind w:right="402"/>
      </w:pPr>
      <w:r w:rsidRPr="003E599B">
        <w:t xml:space="preserve">Service Risk Assurance Statements are maintained and scrutinised by Service Management Teams </w:t>
      </w:r>
      <w:r w:rsidR="00A131B0">
        <w:t>q</w:t>
      </w:r>
      <w:r w:rsidRPr="003E599B">
        <w:t>uarterly</w:t>
      </w:r>
      <w:r w:rsidR="00A131B0">
        <w:t>.  A</w:t>
      </w:r>
      <w:r w:rsidRPr="003E599B">
        <w:t xml:space="preserve"> summary of these feeds into the CRM Updates to both CMT </w:t>
      </w:r>
      <w:r w:rsidR="002F185B">
        <w:t>(</w:t>
      </w:r>
      <w:r w:rsidR="00957564">
        <w:t>q</w:t>
      </w:r>
      <w:r w:rsidR="002F185B">
        <w:t xml:space="preserve">uarterly) </w:t>
      </w:r>
      <w:r w:rsidRPr="003E599B">
        <w:t>and the Executive</w:t>
      </w:r>
      <w:r w:rsidR="002F185B">
        <w:t xml:space="preserve"> (6 monthly)</w:t>
      </w:r>
      <w:r w:rsidRPr="003E599B">
        <w:t>.  This ensures that there is proper consideration and (where necessary) escalation or de-escalation of risks</w:t>
      </w:r>
      <w:r>
        <w:t xml:space="preserve">.  This process is working well within most Services, however, a key area improvement area in 2024/25 is to ensure that </w:t>
      </w:r>
      <w:r w:rsidR="009F1644">
        <w:t>Education Services and the HSCP</w:t>
      </w:r>
      <w:r>
        <w:t xml:space="preserve"> improve their approach to the monitoring and escalation of operational risks</w:t>
      </w:r>
      <w:r w:rsidR="009F1644">
        <w:t>.</w:t>
      </w:r>
    </w:p>
    <w:p w14:paraId="66502759" w14:textId="77777777" w:rsidR="002A06DF" w:rsidRDefault="002A06DF" w:rsidP="00A04D8F">
      <w:pPr>
        <w:pStyle w:val="Heading2"/>
      </w:pPr>
    </w:p>
    <w:p w14:paraId="289CD8A3" w14:textId="1F6FC621" w:rsidR="00FB471A" w:rsidRDefault="00FB471A" w:rsidP="00FB471A">
      <w:pPr>
        <w:rPr>
          <w:bCs/>
          <w:szCs w:val="24"/>
        </w:rPr>
      </w:pPr>
      <w:r w:rsidRPr="007C4051">
        <w:rPr>
          <w:bCs/>
          <w:szCs w:val="24"/>
        </w:rPr>
        <w:t xml:space="preserve">Also, CMT will </w:t>
      </w:r>
      <w:r>
        <w:rPr>
          <w:bCs/>
          <w:szCs w:val="24"/>
        </w:rPr>
        <w:t xml:space="preserve">complete an annual </w:t>
      </w:r>
      <w:r w:rsidRPr="007C4051">
        <w:rPr>
          <w:bCs/>
          <w:szCs w:val="24"/>
        </w:rPr>
        <w:t xml:space="preserve">review </w:t>
      </w:r>
      <w:r w:rsidR="00957564">
        <w:rPr>
          <w:bCs/>
          <w:szCs w:val="24"/>
        </w:rPr>
        <w:t xml:space="preserve">of </w:t>
      </w:r>
      <w:r w:rsidRPr="007C4051">
        <w:rPr>
          <w:bCs/>
          <w:szCs w:val="24"/>
        </w:rPr>
        <w:t xml:space="preserve">Service Operational Risks by December 2025, </w:t>
      </w:r>
      <w:r>
        <w:rPr>
          <w:bCs/>
          <w:szCs w:val="24"/>
        </w:rPr>
        <w:t xml:space="preserve">alongside Governance Group Annual Self-Assessments, </w:t>
      </w:r>
      <w:r w:rsidRPr="007C4051">
        <w:rPr>
          <w:bCs/>
          <w:szCs w:val="24"/>
        </w:rPr>
        <w:t xml:space="preserve">to ensure that </w:t>
      </w:r>
      <w:r>
        <w:rPr>
          <w:bCs/>
          <w:szCs w:val="24"/>
        </w:rPr>
        <w:t>operational risks are being managed effectively across all Services.  This includes the status of improvement plans to manage e.g. business continuity, climate change, and health and safety risks at service (operational) levels.</w:t>
      </w:r>
    </w:p>
    <w:p w14:paraId="1B33D3C9" w14:textId="77777777" w:rsidR="00D06C71" w:rsidRPr="00DB4264" w:rsidRDefault="00D06C71" w:rsidP="00D06C71"/>
    <w:p w14:paraId="70CB44D5" w14:textId="5B08FB82" w:rsidR="003A624D" w:rsidRPr="00E41B00" w:rsidRDefault="00FB471A" w:rsidP="004B2569">
      <w:pPr>
        <w:pStyle w:val="Heading2"/>
        <w:rPr>
          <w:color w:val="004E9A"/>
        </w:rPr>
      </w:pPr>
      <w:bookmarkStart w:id="12" w:name="_Toc177571551"/>
      <w:r w:rsidRPr="00E41B00">
        <w:rPr>
          <w:color w:val="004E9A"/>
        </w:rPr>
        <w:t>Action 5</w:t>
      </w:r>
      <w:r w:rsidR="003A624D" w:rsidRPr="00E41B00">
        <w:rPr>
          <w:color w:val="004E9A"/>
        </w:rPr>
        <w:t>:  Risk Training</w:t>
      </w:r>
      <w:bookmarkEnd w:id="12"/>
      <w:r w:rsidR="003A624D" w:rsidRPr="00E41B00">
        <w:rPr>
          <w:color w:val="004E9A"/>
        </w:rPr>
        <w:t xml:space="preserve"> </w:t>
      </w:r>
    </w:p>
    <w:p w14:paraId="028D4405" w14:textId="77777777" w:rsidR="003A624D" w:rsidRPr="00DB4264" w:rsidRDefault="003A624D" w:rsidP="003A624D">
      <w:pPr>
        <w:ind w:right="119"/>
      </w:pPr>
    </w:p>
    <w:tbl>
      <w:tblPr>
        <w:tblStyle w:val="TableGrid"/>
        <w:tblW w:w="0" w:type="auto"/>
        <w:shd w:val="clear" w:color="auto" w:fill="0070C0"/>
        <w:tblLook w:val="04A0" w:firstRow="1" w:lastRow="0" w:firstColumn="1" w:lastColumn="0" w:noHBand="0" w:noVBand="1"/>
      </w:tblPr>
      <w:tblGrid>
        <w:gridCol w:w="9493"/>
      </w:tblGrid>
      <w:tr w:rsidR="004524FF" w:rsidRPr="004524FF" w14:paraId="582AA810" w14:textId="77777777" w:rsidTr="00125115">
        <w:tc>
          <w:tcPr>
            <w:tcW w:w="9493" w:type="dxa"/>
            <w:shd w:val="clear" w:color="auto" w:fill="0070C0"/>
          </w:tcPr>
          <w:p w14:paraId="6F382685" w14:textId="27F5F79D" w:rsidR="00DB4264" w:rsidRPr="00BA7887" w:rsidRDefault="003C34B9" w:rsidP="00FE36AE">
            <w:pPr>
              <w:rPr>
                <w:b/>
                <w:bCs/>
                <w:color w:val="FFFFFF" w:themeColor="background1"/>
              </w:rPr>
            </w:pPr>
            <w:r>
              <w:rPr>
                <w:b/>
                <w:bCs/>
                <w:color w:val="FFFFFF" w:themeColor="background1"/>
              </w:rPr>
              <w:t>This action includes:</w:t>
            </w:r>
          </w:p>
        </w:tc>
      </w:tr>
    </w:tbl>
    <w:p w14:paraId="777E4F71" w14:textId="77777777" w:rsidR="00DB4264" w:rsidRPr="00DB4264" w:rsidRDefault="00DB4264" w:rsidP="00DB4264">
      <w:pPr>
        <w:ind w:left="426" w:hanging="426"/>
      </w:pPr>
    </w:p>
    <w:p w14:paraId="0D4A6EB2" w14:textId="1C84248B" w:rsidR="00DB4264" w:rsidRDefault="009F1644" w:rsidP="00FB471A">
      <w:pPr>
        <w:pStyle w:val="ListParagraph"/>
        <w:numPr>
          <w:ilvl w:val="0"/>
          <w:numId w:val="35"/>
        </w:numPr>
      </w:pPr>
      <w:r>
        <w:t>Training and briefings: staff /</w:t>
      </w:r>
      <w:r w:rsidR="00957564">
        <w:t xml:space="preserve"> </w:t>
      </w:r>
      <w:r>
        <w:t>receive relevant risk training and guidance</w:t>
      </w:r>
      <w:r w:rsidR="00957564">
        <w:t>; and</w:t>
      </w:r>
    </w:p>
    <w:p w14:paraId="1D1D4919" w14:textId="72CC5F55" w:rsidR="0022356D" w:rsidRDefault="0022356D" w:rsidP="007C4051">
      <w:pPr>
        <w:pStyle w:val="ListParagraph"/>
        <w:numPr>
          <w:ilvl w:val="0"/>
          <w:numId w:val="35"/>
        </w:numPr>
      </w:pPr>
      <w:r>
        <w:t>Services will complete Risk Training Needs Assessments (TNAs) during 2023/24</w:t>
      </w:r>
      <w:r w:rsidR="00957564">
        <w:t>.</w:t>
      </w:r>
    </w:p>
    <w:p w14:paraId="28426A00" w14:textId="77777777" w:rsidR="009F1644" w:rsidRPr="00DB4264" w:rsidRDefault="009F1644" w:rsidP="00DB4264"/>
    <w:tbl>
      <w:tblPr>
        <w:tblStyle w:val="TableGrid"/>
        <w:tblW w:w="0" w:type="auto"/>
        <w:shd w:val="clear" w:color="auto" w:fill="0070C0"/>
        <w:tblLook w:val="04A0" w:firstRow="1" w:lastRow="0" w:firstColumn="1" w:lastColumn="0" w:noHBand="0" w:noVBand="1"/>
      </w:tblPr>
      <w:tblGrid>
        <w:gridCol w:w="9493"/>
      </w:tblGrid>
      <w:tr w:rsidR="004524FF" w:rsidRPr="00BA7887" w14:paraId="4488BD49" w14:textId="77777777" w:rsidTr="00125115">
        <w:tc>
          <w:tcPr>
            <w:tcW w:w="9493" w:type="dxa"/>
            <w:shd w:val="clear" w:color="auto" w:fill="0070C0"/>
          </w:tcPr>
          <w:p w14:paraId="7B855131" w14:textId="40C0F9FB" w:rsidR="00DB4264" w:rsidRPr="00BA7887" w:rsidRDefault="006D50CA" w:rsidP="00FE36AE">
            <w:pPr>
              <w:rPr>
                <w:b/>
                <w:bCs/>
                <w:color w:val="FFFFFF" w:themeColor="background1"/>
              </w:rPr>
            </w:pPr>
            <w:r>
              <w:rPr>
                <w:b/>
                <w:bCs/>
                <w:color w:val="FFFFFF" w:themeColor="background1"/>
                <w:szCs w:val="24"/>
              </w:rPr>
              <w:t xml:space="preserve">Progress </w:t>
            </w:r>
            <w:r w:rsidR="003C34B9">
              <w:rPr>
                <w:b/>
                <w:bCs/>
                <w:color w:val="FFFFFF" w:themeColor="background1"/>
                <w:szCs w:val="24"/>
              </w:rPr>
              <w:t>to Date</w:t>
            </w:r>
            <w:r>
              <w:rPr>
                <w:b/>
                <w:bCs/>
                <w:color w:val="FFFFFF" w:themeColor="background1"/>
                <w:szCs w:val="24"/>
              </w:rPr>
              <w:t xml:space="preserve"> and </w:t>
            </w:r>
            <w:r w:rsidR="004A3011">
              <w:rPr>
                <w:b/>
                <w:bCs/>
                <w:color w:val="FFFFFF" w:themeColor="background1"/>
                <w:szCs w:val="24"/>
              </w:rPr>
              <w:t xml:space="preserve">Priorities </w:t>
            </w:r>
            <w:r>
              <w:rPr>
                <w:b/>
                <w:bCs/>
                <w:color w:val="FFFFFF" w:themeColor="background1"/>
                <w:szCs w:val="24"/>
              </w:rPr>
              <w:t>in 2024/25</w:t>
            </w:r>
          </w:p>
        </w:tc>
      </w:tr>
    </w:tbl>
    <w:p w14:paraId="41135CEC" w14:textId="77777777" w:rsidR="00DB4264" w:rsidRPr="00DB4264" w:rsidRDefault="00DB4264" w:rsidP="003A624D">
      <w:pPr>
        <w:ind w:right="119"/>
      </w:pPr>
    </w:p>
    <w:p w14:paraId="1D3916DD" w14:textId="555ADA66" w:rsidR="00D05BB0" w:rsidRDefault="001F5C0E" w:rsidP="001F5C0E">
      <w:pPr>
        <w:tabs>
          <w:tab w:val="left" w:pos="9356"/>
        </w:tabs>
        <w:ind w:right="119"/>
      </w:pPr>
      <w:r>
        <w:t>Risk E-Learning provides an introduction, and it’s targeted (at a minimum) at Team Leaders, Managers, and Elected Members.  It has</w:t>
      </w:r>
      <w:r w:rsidR="00060532">
        <w:t xml:space="preserve"> </w:t>
      </w:r>
      <w:r w:rsidR="00B150B7">
        <w:t xml:space="preserve">been completed by over </w:t>
      </w:r>
      <w:commentRangeStart w:id="13"/>
      <w:commentRangeStart w:id="14"/>
      <w:commentRangeStart w:id="15"/>
      <w:r w:rsidR="00B150B7" w:rsidRPr="007C4051">
        <w:t xml:space="preserve">500 </w:t>
      </w:r>
      <w:commentRangeEnd w:id="13"/>
      <w:r w:rsidR="007C4051">
        <w:t>employees</w:t>
      </w:r>
      <w:r w:rsidR="007C4051" w:rsidRPr="007C4051">
        <w:t xml:space="preserve"> </w:t>
      </w:r>
      <w:r w:rsidR="00856898" w:rsidRPr="007C4051">
        <w:rPr>
          <w:rStyle w:val="CommentReference"/>
          <w:rFonts w:asciiTheme="minorHAnsi" w:eastAsiaTheme="minorHAnsi" w:hAnsiTheme="minorHAnsi" w:cstheme="minorBidi"/>
          <w:color w:val="auto"/>
        </w:rPr>
        <w:commentReference w:id="13"/>
      </w:r>
      <w:commentRangeEnd w:id="14"/>
      <w:r w:rsidR="00886A9B" w:rsidRPr="007C4051">
        <w:rPr>
          <w:rStyle w:val="CommentReference"/>
          <w:rFonts w:asciiTheme="minorHAnsi" w:eastAsiaTheme="minorHAnsi" w:hAnsiTheme="minorHAnsi" w:cstheme="minorBidi"/>
          <w:color w:val="auto"/>
        </w:rPr>
        <w:commentReference w:id="14"/>
      </w:r>
      <w:commentRangeEnd w:id="15"/>
      <w:r w:rsidR="00D07E9A" w:rsidRPr="007C4051">
        <w:rPr>
          <w:rStyle w:val="CommentReference"/>
          <w:rFonts w:asciiTheme="minorHAnsi" w:eastAsiaTheme="minorHAnsi" w:hAnsiTheme="minorHAnsi" w:cstheme="minorBidi"/>
          <w:color w:val="auto"/>
        </w:rPr>
        <w:commentReference w:id="15"/>
      </w:r>
      <w:r w:rsidR="00B150B7">
        <w:t xml:space="preserve">since the Policy </w:t>
      </w:r>
      <w:r w:rsidR="00D05BB0">
        <w:t>was updated in November 2022</w:t>
      </w:r>
      <w:r w:rsidR="00212D85">
        <w:t>, including most of the targeted employees in Place</w:t>
      </w:r>
      <w:r w:rsidR="00957564">
        <w:t xml:space="preserve"> </w:t>
      </w:r>
      <w:r w:rsidR="00212D85">
        <w:t xml:space="preserve">and </w:t>
      </w:r>
      <w:r w:rsidR="0022356D">
        <w:t xml:space="preserve">Transformation, Communities, and Corporate </w:t>
      </w:r>
      <w:r w:rsidR="00212D85">
        <w:t>Services</w:t>
      </w:r>
      <w:r>
        <w:t xml:space="preserve">.  </w:t>
      </w:r>
      <w:r w:rsidR="009F1644">
        <w:t>Complet</w:t>
      </w:r>
      <w:r>
        <w:t xml:space="preserve">ion rates are low, </w:t>
      </w:r>
      <w:r w:rsidR="00D05BB0">
        <w:t xml:space="preserve">however, </w:t>
      </w:r>
      <w:r>
        <w:t xml:space="preserve">in Education and Social </w:t>
      </w:r>
      <w:r w:rsidR="00212D85">
        <w:t>Care</w:t>
      </w:r>
      <w:r w:rsidR="00092724">
        <w:t>.</w:t>
      </w:r>
      <w:r w:rsidR="0022356D">
        <w:t xml:space="preserve">  To address this, Risk E-learning has been added to Social Care Inductions, and a similar approach will be agreed with Education Services</w:t>
      </w:r>
      <w:r w:rsidR="00957564">
        <w:t xml:space="preserve">.  </w:t>
      </w:r>
      <w:r w:rsidR="0022356D">
        <w:t>Managers will monitor progress closely.</w:t>
      </w:r>
    </w:p>
    <w:p w14:paraId="488C2185" w14:textId="77777777" w:rsidR="00D05BB0" w:rsidRDefault="00D05BB0" w:rsidP="00125115">
      <w:pPr>
        <w:tabs>
          <w:tab w:val="left" w:pos="9356"/>
        </w:tabs>
        <w:ind w:right="119"/>
      </w:pPr>
    </w:p>
    <w:p w14:paraId="114D7157" w14:textId="1CABB150" w:rsidR="0022356D" w:rsidRDefault="0022356D" w:rsidP="0022356D">
      <w:pPr>
        <w:tabs>
          <w:tab w:val="left" w:pos="9356"/>
        </w:tabs>
        <w:ind w:right="119"/>
      </w:pPr>
      <w:bookmarkStart w:id="16" w:name="_Hlk170312193"/>
      <w:r>
        <w:t xml:space="preserve">Service </w:t>
      </w:r>
      <w:r w:rsidR="0068764B">
        <w:t>Risk Training Needs Assessments (TNAs)</w:t>
      </w:r>
      <w:r>
        <w:t xml:space="preserve"> will be taken forward with individual Services during 2024/25.  The priority is to work with training leads (including Democratic Services and Organisational Development) to embed risk into</w:t>
      </w:r>
      <w:r w:rsidR="002A6473">
        <w:t xml:space="preserve"> the</w:t>
      </w:r>
      <w:r>
        <w:t xml:space="preserve"> </w:t>
      </w:r>
      <w:r w:rsidR="002A6473">
        <w:t xml:space="preserve">Council’s </w:t>
      </w:r>
      <w:r>
        <w:t>Development Programmes, including:</w:t>
      </w:r>
    </w:p>
    <w:p w14:paraId="6301CB21" w14:textId="77777777" w:rsidR="0022356D" w:rsidRDefault="0022356D" w:rsidP="0022356D">
      <w:pPr>
        <w:tabs>
          <w:tab w:val="left" w:pos="9356"/>
        </w:tabs>
        <w:ind w:right="119"/>
      </w:pPr>
    </w:p>
    <w:p w14:paraId="56DA977D" w14:textId="155AAC62" w:rsidR="0022356D" w:rsidRDefault="0022356D" w:rsidP="0022356D">
      <w:pPr>
        <w:pStyle w:val="ListParagraph"/>
        <w:numPr>
          <w:ilvl w:val="0"/>
          <w:numId w:val="13"/>
        </w:numPr>
        <w:tabs>
          <w:tab w:val="left" w:pos="9356"/>
        </w:tabs>
        <w:ind w:right="119"/>
      </w:pPr>
      <w:r>
        <w:t xml:space="preserve">Committee Papers Guidance and </w:t>
      </w:r>
      <w:r w:rsidR="002A6473">
        <w:t>Leadership Training</w:t>
      </w:r>
      <w:r>
        <w:t xml:space="preserve"> for Managers and Elected </w:t>
      </w:r>
      <w:proofErr w:type="gramStart"/>
      <w:r>
        <w:t>Members;</w:t>
      </w:r>
      <w:proofErr w:type="gramEnd"/>
    </w:p>
    <w:p w14:paraId="6491F8D9" w14:textId="20F4F173" w:rsidR="0022356D" w:rsidRDefault="0022356D" w:rsidP="0022356D">
      <w:pPr>
        <w:pStyle w:val="ListParagraph"/>
        <w:numPr>
          <w:ilvl w:val="0"/>
          <w:numId w:val="13"/>
        </w:numPr>
        <w:tabs>
          <w:tab w:val="left" w:pos="9356"/>
        </w:tabs>
        <w:ind w:right="119"/>
      </w:pPr>
      <w:r>
        <w:t>Professional Development Programmes, e.g. Finance, Technology, and Public Protection; and</w:t>
      </w:r>
    </w:p>
    <w:p w14:paraId="41A51E35" w14:textId="18A2018E" w:rsidR="0022356D" w:rsidRPr="009E48CD" w:rsidRDefault="0022356D" w:rsidP="0022356D">
      <w:pPr>
        <w:pStyle w:val="ListParagraph"/>
        <w:numPr>
          <w:ilvl w:val="0"/>
          <w:numId w:val="13"/>
        </w:numPr>
        <w:tabs>
          <w:tab w:val="left" w:pos="9356"/>
        </w:tabs>
        <w:ind w:right="119"/>
        <w:rPr>
          <w:rStyle w:val="normaltextrun"/>
          <w:szCs w:val="24"/>
        </w:rPr>
      </w:pPr>
      <w:r w:rsidRPr="009E48CD">
        <w:rPr>
          <w:rStyle w:val="normaltextrun"/>
          <w:szCs w:val="24"/>
        </w:rPr>
        <w:t xml:space="preserve">Workshops </w:t>
      </w:r>
      <w:r>
        <w:rPr>
          <w:rStyle w:val="normaltextrun"/>
          <w:szCs w:val="24"/>
        </w:rPr>
        <w:t xml:space="preserve">or focussed reviews </w:t>
      </w:r>
      <w:r w:rsidRPr="009E48CD">
        <w:rPr>
          <w:rStyle w:val="normaltextrun"/>
          <w:szCs w:val="24"/>
        </w:rPr>
        <w:t xml:space="preserve">on specific </w:t>
      </w:r>
      <w:r>
        <w:rPr>
          <w:rStyle w:val="normaltextrun"/>
          <w:szCs w:val="24"/>
        </w:rPr>
        <w:t xml:space="preserve">corporate </w:t>
      </w:r>
      <w:r w:rsidRPr="009E48CD">
        <w:rPr>
          <w:rStyle w:val="normaltextrun"/>
          <w:szCs w:val="24"/>
        </w:rPr>
        <w:t>risks</w:t>
      </w:r>
      <w:r>
        <w:rPr>
          <w:rStyle w:val="normaltextrun"/>
          <w:szCs w:val="24"/>
        </w:rPr>
        <w:t>, to review key controls and actions.</w:t>
      </w:r>
    </w:p>
    <w:p w14:paraId="5F9C75BC" w14:textId="77777777" w:rsidR="0068764B" w:rsidRDefault="0068764B" w:rsidP="007C4051"/>
    <w:p w14:paraId="006CADB1" w14:textId="51A38BF7" w:rsidR="004B2569" w:rsidRPr="00E41B00" w:rsidRDefault="002A6473" w:rsidP="004B2569">
      <w:pPr>
        <w:pStyle w:val="Heading2"/>
        <w:rPr>
          <w:b w:val="0"/>
          <w:color w:val="004E9A"/>
        </w:rPr>
      </w:pPr>
      <w:bookmarkStart w:id="17" w:name="_Toc177571552"/>
      <w:bookmarkEnd w:id="16"/>
      <w:r w:rsidRPr="00E41B00">
        <w:rPr>
          <w:color w:val="004E9A"/>
        </w:rPr>
        <w:t>Action 6</w:t>
      </w:r>
      <w:r w:rsidR="004B2569" w:rsidRPr="00E41B00">
        <w:rPr>
          <w:b w:val="0"/>
          <w:color w:val="004E9A"/>
        </w:rPr>
        <w:t xml:space="preserve">:  Specialist </w:t>
      </w:r>
      <w:r w:rsidR="00DB4264" w:rsidRPr="00E41B00">
        <w:rPr>
          <w:b w:val="0"/>
          <w:color w:val="004E9A"/>
        </w:rPr>
        <w:t>R</w:t>
      </w:r>
      <w:r w:rsidR="004B2569" w:rsidRPr="00E41B00">
        <w:rPr>
          <w:b w:val="0"/>
          <w:color w:val="004E9A"/>
        </w:rPr>
        <w:t>isk</w:t>
      </w:r>
      <w:r w:rsidR="00DB4264" w:rsidRPr="00E41B00">
        <w:rPr>
          <w:b w:val="0"/>
          <w:color w:val="004E9A"/>
        </w:rPr>
        <w:t>s</w:t>
      </w:r>
      <w:bookmarkEnd w:id="17"/>
      <w:r w:rsidR="004B2569" w:rsidRPr="00E41B00">
        <w:rPr>
          <w:b w:val="0"/>
          <w:color w:val="004E9A"/>
        </w:rPr>
        <w:t xml:space="preserve"> </w:t>
      </w:r>
    </w:p>
    <w:p w14:paraId="6679F325" w14:textId="77777777" w:rsidR="002A6473" w:rsidRPr="002A6473" w:rsidRDefault="002A6473" w:rsidP="007C4051"/>
    <w:tbl>
      <w:tblPr>
        <w:tblStyle w:val="TableGrid"/>
        <w:tblW w:w="0" w:type="auto"/>
        <w:shd w:val="clear" w:color="auto" w:fill="0070C0"/>
        <w:tblLook w:val="04A0" w:firstRow="1" w:lastRow="0" w:firstColumn="1" w:lastColumn="0" w:noHBand="0" w:noVBand="1"/>
      </w:tblPr>
      <w:tblGrid>
        <w:gridCol w:w="9493"/>
      </w:tblGrid>
      <w:tr w:rsidR="00DB4264" w:rsidRPr="00AE67CA" w14:paraId="35AB3B9D" w14:textId="77777777" w:rsidTr="00125115">
        <w:tc>
          <w:tcPr>
            <w:tcW w:w="9493" w:type="dxa"/>
            <w:shd w:val="clear" w:color="auto" w:fill="0070C0"/>
          </w:tcPr>
          <w:p w14:paraId="5D3AD932" w14:textId="242DD252" w:rsidR="00DB4264" w:rsidRPr="00AE67CA" w:rsidRDefault="003C34B9" w:rsidP="002A6473">
            <w:pPr>
              <w:rPr>
                <w:szCs w:val="24"/>
              </w:rPr>
            </w:pPr>
            <w:r>
              <w:rPr>
                <w:b/>
                <w:bCs/>
                <w:color w:val="FFFFFF" w:themeColor="background1"/>
              </w:rPr>
              <w:t>This action includes:</w:t>
            </w:r>
          </w:p>
        </w:tc>
      </w:tr>
    </w:tbl>
    <w:p w14:paraId="051AD7D2" w14:textId="77777777" w:rsidR="00DB4264" w:rsidRPr="00AE67CA" w:rsidRDefault="00DB4264" w:rsidP="002A6473">
      <w:pPr>
        <w:ind w:left="426" w:hanging="426"/>
        <w:rPr>
          <w:szCs w:val="24"/>
        </w:rPr>
      </w:pPr>
    </w:p>
    <w:p w14:paraId="0950F736" w14:textId="0CEA519C" w:rsidR="003C2611" w:rsidRPr="003C2611" w:rsidRDefault="003C2611" w:rsidP="007C4051">
      <w:pPr>
        <w:pStyle w:val="ListParagraph"/>
        <w:numPr>
          <w:ilvl w:val="0"/>
          <w:numId w:val="36"/>
        </w:numPr>
        <w:rPr>
          <w:rFonts w:eastAsia="Arial"/>
          <w:szCs w:val="24"/>
        </w:rPr>
      </w:pPr>
      <w:r>
        <w:rPr>
          <w:rFonts w:eastAsia="Arial"/>
          <w:szCs w:val="24"/>
        </w:rPr>
        <w:t>S</w:t>
      </w:r>
      <w:r>
        <w:t xml:space="preserve">pecialist Risk Registers and / or Assurance Statements are in place and reviewed by Lead Officers / Groups </w:t>
      </w:r>
      <w:r w:rsidR="00CA47EA">
        <w:t>q</w:t>
      </w:r>
      <w:r>
        <w:t>uarterly</w:t>
      </w:r>
      <w:r w:rsidR="00CA47EA">
        <w:t>.</w:t>
      </w:r>
    </w:p>
    <w:p w14:paraId="246DE694" w14:textId="77777777" w:rsidR="003C2611" w:rsidRDefault="003C2611" w:rsidP="002A6473">
      <w:pPr>
        <w:rPr>
          <w:rFonts w:eastAsia="Arial"/>
          <w:szCs w:val="24"/>
        </w:rPr>
      </w:pPr>
    </w:p>
    <w:tbl>
      <w:tblPr>
        <w:tblStyle w:val="TableGrid"/>
        <w:tblW w:w="0" w:type="auto"/>
        <w:shd w:val="clear" w:color="auto" w:fill="0070C0"/>
        <w:tblLook w:val="04A0" w:firstRow="1" w:lastRow="0" w:firstColumn="1" w:lastColumn="0" w:noHBand="0" w:noVBand="1"/>
      </w:tblPr>
      <w:tblGrid>
        <w:gridCol w:w="9493"/>
      </w:tblGrid>
      <w:tr w:rsidR="006D50CA" w:rsidRPr="00CF5A52" w14:paraId="5AB5055A" w14:textId="77777777" w:rsidTr="00125115">
        <w:tc>
          <w:tcPr>
            <w:tcW w:w="9493" w:type="dxa"/>
            <w:shd w:val="clear" w:color="auto" w:fill="0070C0"/>
          </w:tcPr>
          <w:p w14:paraId="3F77318F" w14:textId="6B78F222" w:rsidR="006D50CA" w:rsidRPr="00CF5A52" w:rsidRDefault="003C34B9" w:rsidP="002A6473">
            <w:pPr>
              <w:rPr>
                <w:rFonts w:eastAsia="Arial"/>
                <w:b/>
                <w:bCs/>
                <w:color w:val="FFFFFF" w:themeColor="background1"/>
                <w:szCs w:val="24"/>
              </w:rPr>
            </w:pPr>
            <w:r>
              <w:rPr>
                <w:b/>
                <w:bCs/>
                <w:color w:val="FFFFFF" w:themeColor="background1"/>
                <w:szCs w:val="24"/>
              </w:rPr>
              <w:t>Progress to Date and Priorities in 2024/25</w:t>
            </w:r>
          </w:p>
        </w:tc>
      </w:tr>
    </w:tbl>
    <w:p w14:paraId="10B7BE65" w14:textId="77777777" w:rsidR="00B214BE" w:rsidRDefault="00B214BE" w:rsidP="007C4051"/>
    <w:p w14:paraId="53F094C3" w14:textId="325446D3" w:rsidR="00FF70F1" w:rsidRPr="00FF70F1" w:rsidRDefault="002A6473" w:rsidP="007C4051">
      <w:pPr>
        <w:ind w:right="402"/>
      </w:pPr>
      <w:r>
        <w:rPr>
          <w:rStyle w:val="normaltextrun"/>
          <w:color w:val="auto"/>
          <w:szCs w:val="24"/>
        </w:rPr>
        <w:t xml:space="preserve">Focussed </w:t>
      </w:r>
      <w:r w:rsidR="00957564">
        <w:rPr>
          <w:rStyle w:val="normaltextrun"/>
          <w:color w:val="auto"/>
          <w:szCs w:val="24"/>
        </w:rPr>
        <w:t>r</w:t>
      </w:r>
      <w:r>
        <w:rPr>
          <w:rStyle w:val="normaltextrun"/>
          <w:color w:val="auto"/>
          <w:szCs w:val="24"/>
        </w:rPr>
        <w:t xml:space="preserve">eviews </w:t>
      </w:r>
      <w:r>
        <w:rPr>
          <w:rStyle w:val="normaltextrun"/>
          <w:szCs w:val="24"/>
        </w:rPr>
        <w:t xml:space="preserve">will </w:t>
      </w:r>
      <w:proofErr w:type="gramStart"/>
      <w:r>
        <w:rPr>
          <w:rStyle w:val="normaltextrun"/>
          <w:szCs w:val="24"/>
        </w:rPr>
        <w:t>continue on</w:t>
      </w:r>
      <w:proofErr w:type="gramEnd"/>
      <w:r>
        <w:rPr>
          <w:rStyle w:val="normaltextrun"/>
          <w:szCs w:val="24"/>
        </w:rPr>
        <w:t xml:space="preserve"> a prioritised basis and feed into the CRR and AGS</w:t>
      </w:r>
      <w:r>
        <w:rPr>
          <w:rStyle w:val="normaltextrun"/>
          <w:color w:val="auto"/>
          <w:szCs w:val="24"/>
        </w:rPr>
        <w:t>.   The aim is to ensure that</w:t>
      </w:r>
      <w:r w:rsidR="001D217D">
        <w:rPr>
          <w:rStyle w:val="normaltextrun"/>
          <w:color w:val="auto"/>
          <w:szCs w:val="24"/>
        </w:rPr>
        <w:t xml:space="preserve"> </w:t>
      </w:r>
      <w:r w:rsidR="001D217D">
        <w:rPr>
          <w:rFonts w:eastAsia="Arial"/>
          <w:bCs/>
        </w:rPr>
        <w:t xml:space="preserve">all the CRR, AGS, and all </w:t>
      </w:r>
      <w:r w:rsidR="00E966A6" w:rsidRPr="003C2611">
        <w:rPr>
          <w:rFonts w:eastAsia="Arial"/>
          <w:bCs/>
        </w:rPr>
        <w:t>Committee Reports</w:t>
      </w:r>
      <w:r w:rsidR="001D217D">
        <w:rPr>
          <w:rFonts w:eastAsia="Arial"/>
          <w:bCs/>
        </w:rPr>
        <w:t xml:space="preserve"> (including changes to s</w:t>
      </w:r>
      <w:r w:rsidR="00D70577" w:rsidRPr="003C2611">
        <w:rPr>
          <w:rFonts w:eastAsia="Arial"/>
          <w:bCs/>
        </w:rPr>
        <w:t xml:space="preserve">trategies and </w:t>
      </w:r>
      <w:r w:rsidR="001D217D">
        <w:rPr>
          <w:rFonts w:eastAsia="Arial"/>
          <w:bCs/>
        </w:rPr>
        <w:t>p</w:t>
      </w:r>
      <w:r w:rsidR="00E966A6" w:rsidRPr="003C2611">
        <w:rPr>
          <w:rFonts w:eastAsia="Arial"/>
          <w:bCs/>
        </w:rPr>
        <w:t>lans</w:t>
      </w:r>
      <w:r w:rsidR="001D217D">
        <w:rPr>
          <w:rFonts w:eastAsia="Arial"/>
          <w:bCs/>
        </w:rPr>
        <w:t>) provide a reliable assessment of risks, and that processes are in place to assess and monitor S</w:t>
      </w:r>
      <w:r w:rsidR="007F6436" w:rsidRPr="003C2611">
        <w:rPr>
          <w:rFonts w:eastAsia="Arial"/>
          <w:bCs/>
        </w:rPr>
        <w:t>pecialist Risk</w:t>
      </w:r>
      <w:r w:rsidR="001D217D">
        <w:rPr>
          <w:rFonts w:eastAsia="Arial"/>
          <w:bCs/>
        </w:rPr>
        <w:t xml:space="preserve">s on subjects such as assets, </w:t>
      </w:r>
      <w:r>
        <w:rPr>
          <w:rFonts w:eastAsia="Arial"/>
          <w:bCs/>
        </w:rPr>
        <w:t>public protection</w:t>
      </w:r>
      <w:r w:rsidR="001D217D">
        <w:rPr>
          <w:rFonts w:eastAsia="Arial"/>
          <w:bCs/>
        </w:rPr>
        <w:t>,</w:t>
      </w:r>
      <w:r>
        <w:rPr>
          <w:rFonts w:eastAsia="Arial"/>
          <w:bCs/>
        </w:rPr>
        <w:t xml:space="preserve"> and resilienc</w:t>
      </w:r>
      <w:r w:rsidR="00B214BE">
        <w:rPr>
          <w:rFonts w:eastAsia="Arial"/>
          <w:bCs/>
        </w:rPr>
        <w:t>e.</w:t>
      </w:r>
      <w:bookmarkEnd w:id="2"/>
      <w:bookmarkEnd w:id="1"/>
    </w:p>
    <w:sectPr w:rsidR="00FF70F1" w:rsidRPr="00FF70F1" w:rsidSect="007C4051">
      <w:headerReference w:type="default" r:id="rId28"/>
      <w:pgSz w:w="11906" w:h="16838" w:code="9"/>
      <w:pgMar w:top="709" w:right="566" w:bottom="284" w:left="1440" w:header="284" w:footer="259" w:gutter="0"/>
      <w:paperSrc w:first="7" w:other="7"/>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Hugh Coyle" w:date="2024-07-24T15:47:00Z" w:initials="HC">
    <w:p w14:paraId="55E5A7EA" w14:textId="7DE85479" w:rsidR="00856898" w:rsidRDefault="00856898" w:rsidP="00856898">
      <w:pPr>
        <w:pStyle w:val="CommentText"/>
      </w:pPr>
      <w:r>
        <w:rPr>
          <w:rStyle w:val="CommentReference"/>
        </w:rPr>
        <w:annotationRef/>
      </w:r>
      <w:r>
        <w:t>Update this nearer the time - SWAS are still making progress, but not yet at manager level</w:t>
      </w:r>
    </w:p>
  </w:comment>
  <w:comment w:id="14" w:author="Amanda Templeman" w:date="2024-08-23T13:38:00Z" w:initials="AT">
    <w:p w14:paraId="172E0CD5" w14:textId="77777777" w:rsidR="00886A9B" w:rsidRDefault="00886A9B" w:rsidP="00886A9B">
      <w:pPr>
        <w:pStyle w:val="CommentText"/>
      </w:pPr>
      <w:r>
        <w:rPr>
          <w:rStyle w:val="CommentReference"/>
        </w:rPr>
        <w:annotationRef/>
      </w:r>
      <w:r>
        <w:t>It is difficult to know if this is good or bad because there is no sense of how many people would be required to complete it.</w:t>
      </w:r>
    </w:p>
  </w:comment>
  <w:comment w:id="15" w:author="Hugh Coyle" w:date="2024-08-30T14:40:00Z" w:initials="HC">
    <w:p w14:paraId="0966752B" w14:textId="77777777" w:rsidR="00212D85" w:rsidRDefault="00D07E9A" w:rsidP="00212D85">
      <w:pPr>
        <w:pStyle w:val="CommentText"/>
      </w:pPr>
      <w:r>
        <w:rPr>
          <w:rStyle w:val="CommentReference"/>
        </w:rPr>
        <w:annotationRef/>
      </w:r>
      <w:r w:rsidR="00212D85">
        <w:t>Added the last section ….”including most of the targeted employees in PS and TCC...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E5A7EA" w15:done="1"/>
  <w15:commentEx w15:paraId="172E0CD5" w15:paraIdParent="55E5A7EA" w15:done="1"/>
  <w15:commentEx w15:paraId="0966752B" w15:paraIdParent="55E5A7E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7845D7" w16cex:dateUtc="2024-07-24T14:47:00Z"/>
  <w16cex:commentExtensible w16cex:durableId="610D15D2" w16cex:dateUtc="2024-08-23T12:38:00Z"/>
  <w16cex:commentExtensible w16cex:durableId="49669780" w16cex:dateUtc="2024-08-30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E5A7EA" w16cid:durableId="347845D7"/>
  <w16cid:commentId w16cid:paraId="172E0CD5" w16cid:durableId="610D15D2"/>
  <w16cid:commentId w16cid:paraId="0966752B" w16cid:durableId="496697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CFD3B" w14:textId="77777777" w:rsidR="00007788" w:rsidRDefault="00007788" w:rsidP="00E37B0C">
      <w:r>
        <w:separator/>
      </w:r>
    </w:p>
  </w:endnote>
  <w:endnote w:type="continuationSeparator" w:id="0">
    <w:p w14:paraId="6A0274E3" w14:textId="77777777" w:rsidR="00007788" w:rsidRDefault="00007788" w:rsidP="00E37B0C">
      <w:r>
        <w:continuationSeparator/>
      </w:r>
    </w:p>
  </w:endnote>
  <w:endnote w:type="continuationNotice" w:id="1">
    <w:p w14:paraId="0A13FFF3" w14:textId="77777777" w:rsidR="00007788" w:rsidRDefault="00007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Montserrat Ligh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B6640" w14:textId="77777777" w:rsidR="00007788" w:rsidRDefault="00007788" w:rsidP="00E37B0C">
      <w:r>
        <w:separator/>
      </w:r>
    </w:p>
  </w:footnote>
  <w:footnote w:type="continuationSeparator" w:id="0">
    <w:p w14:paraId="5EBAA51A" w14:textId="77777777" w:rsidR="00007788" w:rsidRDefault="00007788" w:rsidP="00E37B0C">
      <w:r>
        <w:continuationSeparator/>
      </w:r>
    </w:p>
  </w:footnote>
  <w:footnote w:type="continuationNotice" w:id="1">
    <w:p w14:paraId="38C619EF" w14:textId="77777777" w:rsidR="00007788" w:rsidRDefault="00007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242D" w14:textId="662DD6D4" w:rsidR="00957564" w:rsidRPr="00926991" w:rsidRDefault="00957564" w:rsidP="00926991">
    <w:pPr>
      <w:pStyle w:val="Header"/>
      <w:jc w:val="right"/>
      <w:rPr>
        <w:b/>
        <w:bCs/>
        <w:szCs w:val="24"/>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7CE"/>
    <w:multiLevelType w:val="hybridMultilevel"/>
    <w:tmpl w:val="A9BC01FE"/>
    <w:lvl w:ilvl="0" w:tplc="FFFFFFFF">
      <w:start w:val="1"/>
      <w:numFmt w:val="bullet"/>
      <w:lvlText w:val=""/>
      <w:lvlJc w:val="left"/>
      <w:pPr>
        <w:ind w:left="360" w:hanging="360"/>
      </w:pPr>
      <w:rPr>
        <w:rFonts w:ascii="Wingdings" w:hAnsi="Wingdings" w:hint="default"/>
        <w:color w:val="00A5C7"/>
      </w:rPr>
    </w:lvl>
    <w:lvl w:ilvl="1" w:tplc="DADE336C">
      <w:start w:val="1"/>
      <w:numFmt w:val="bullet"/>
      <w:lvlText w:val=""/>
      <w:lvlJc w:val="left"/>
      <w:pPr>
        <w:ind w:left="360" w:hanging="360"/>
      </w:pPr>
      <w:rPr>
        <w:rFonts w:ascii="Wingdings" w:hAnsi="Wingdings" w:hint="default"/>
        <w:color w:val="00A5C7"/>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361550"/>
    <w:multiLevelType w:val="multilevel"/>
    <w:tmpl w:val="D33AE4F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B23445"/>
    <w:multiLevelType w:val="hybridMultilevel"/>
    <w:tmpl w:val="D54C3F3A"/>
    <w:lvl w:ilvl="0" w:tplc="DADE336C">
      <w:start w:val="1"/>
      <w:numFmt w:val="bullet"/>
      <w:lvlText w:val=""/>
      <w:lvlJc w:val="left"/>
      <w:pPr>
        <w:ind w:left="720" w:hanging="360"/>
      </w:pPr>
      <w:rPr>
        <w:rFonts w:ascii="Wingdings" w:hAnsi="Wingdings" w:hint="default"/>
        <w:color w:val="00A5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55CAA"/>
    <w:multiLevelType w:val="multilevel"/>
    <w:tmpl w:val="6722F696"/>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68A1EC8"/>
    <w:multiLevelType w:val="hybridMultilevel"/>
    <w:tmpl w:val="26BEC398"/>
    <w:lvl w:ilvl="0" w:tplc="DADE336C">
      <w:start w:val="1"/>
      <w:numFmt w:val="bullet"/>
      <w:lvlText w:val=""/>
      <w:lvlJc w:val="left"/>
      <w:pPr>
        <w:ind w:left="360" w:hanging="360"/>
      </w:pPr>
      <w:rPr>
        <w:rFonts w:ascii="Wingdings" w:hAnsi="Wingdings" w:hint="default"/>
        <w:color w:val="00A5C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F5EEF"/>
    <w:multiLevelType w:val="hybridMultilevel"/>
    <w:tmpl w:val="A57C0D1C"/>
    <w:lvl w:ilvl="0" w:tplc="40FC62B0">
      <w:start w:val="1"/>
      <w:numFmt w:val="bullet"/>
      <w:lvlText w:val="•"/>
      <w:lvlJc w:val="left"/>
      <w:pPr>
        <w:tabs>
          <w:tab w:val="num" w:pos="720"/>
        </w:tabs>
        <w:ind w:left="720" w:hanging="360"/>
      </w:pPr>
      <w:rPr>
        <w:rFonts w:ascii="Arial" w:hAnsi="Arial" w:hint="default"/>
      </w:rPr>
    </w:lvl>
    <w:lvl w:ilvl="1" w:tplc="865025B8" w:tentative="1">
      <w:start w:val="1"/>
      <w:numFmt w:val="bullet"/>
      <w:lvlText w:val="•"/>
      <w:lvlJc w:val="left"/>
      <w:pPr>
        <w:tabs>
          <w:tab w:val="num" w:pos="1440"/>
        </w:tabs>
        <w:ind w:left="1440" w:hanging="360"/>
      </w:pPr>
      <w:rPr>
        <w:rFonts w:ascii="Arial" w:hAnsi="Arial" w:hint="default"/>
      </w:rPr>
    </w:lvl>
    <w:lvl w:ilvl="2" w:tplc="7F52F4D6" w:tentative="1">
      <w:start w:val="1"/>
      <w:numFmt w:val="bullet"/>
      <w:lvlText w:val="•"/>
      <w:lvlJc w:val="left"/>
      <w:pPr>
        <w:tabs>
          <w:tab w:val="num" w:pos="2160"/>
        </w:tabs>
        <w:ind w:left="2160" w:hanging="360"/>
      </w:pPr>
      <w:rPr>
        <w:rFonts w:ascii="Arial" w:hAnsi="Arial" w:hint="default"/>
      </w:rPr>
    </w:lvl>
    <w:lvl w:ilvl="3" w:tplc="6CCC5A4A" w:tentative="1">
      <w:start w:val="1"/>
      <w:numFmt w:val="bullet"/>
      <w:lvlText w:val="•"/>
      <w:lvlJc w:val="left"/>
      <w:pPr>
        <w:tabs>
          <w:tab w:val="num" w:pos="2880"/>
        </w:tabs>
        <w:ind w:left="2880" w:hanging="360"/>
      </w:pPr>
      <w:rPr>
        <w:rFonts w:ascii="Arial" w:hAnsi="Arial" w:hint="default"/>
      </w:rPr>
    </w:lvl>
    <w:lvl w:ilvl="4" w:tplc="43E06EC6" w:tentative="1">
      <w:start w:val="1"/>
      <w:numFmt w:val="bullet"/>
      <w:lvlText w:val="•"/>
      <w:lvlJc w:val="left"/>
      <w:pPr>
        <w:tabs>
          <w:tab w:val="num" w:pos="3600"/>
        </w:tabs>
        <w:ind w:left="3600" w:hanging="360"/>
      </w:pPr>
      <w:rPr>
        <w:rFonts w:ascii="Arial" w:hAnsi="Arial" w:hint="default"/>
      </w:rPr>
    </w:lvl>
    <w:lvl w:ilvl="5" w:tplc="066E096E" w:tentative="1">
      <w:start w:val="1"/>
      <w:numFmt w:val="bullet"/>
      <w:lvlText w:val="•"/>
      <w:lvlJc w:val="left"/>
      <w:pPr>
        <w:tabs>
          <w:tab w:val="num" w:pos="4320"/>
        </w:tabs>
        <w:ind w:left="4320" w:hanging="360"/>
      </w:pPr>
      <w:rPr>
        <w:rFonts w:ascii="Arial" w:hAnsi="Arial" w:hint="default"/>
      </w:rPr>
    </w:lvl>
    <w:lvl w:ilvl="6" w:tplc="1388979C" w:tentative="1">
      <w:start w:val="1"/>
      <w:numFmt w:val="bullet"/>
      <w:lvlText w:val="•"/>
      <w:lvlJc w:val="left"/>
      <w:pPr>
        <w:tabs>
          <w:tab w:val="num" w:pos="5040"/>
        </w:tabs>
        <w:ind w:left="5040" w:hanging="360"/>
      </w:pPr>
      <w:rPr>
        <w:rFonts w:ascii="Arial" w:hAnsi="Arial" w:hint="default"/>
      </w:rPr>
    </w:lvl>
    <w:lvl w:ilvl="7" w:tplc="AA3C54AA" w:tentative="1">
      <w:start w:val="1"/>
      <w:numFmt w:val="bullet"/>
      <w:lvlText w:val="•"/>
      <w:lvlJc w:val="left"/>
      <w:pPr>
        <w:tabs>
          <w:tab w:val="num" w:pos="5760"/>
        </w:tabs>
        <w:ind w:left="5760" w:hanging="360"/>
      </w:pPr>
      <w:rPr>
        <w:rFonts w:ascii="Arial" w:hAnsi="Arial" w:hint="default"/>
      </w:rPr>
    </w:lvl>
    <w:lvl w:ilvl="8" w:tplc="96E669E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4C4A1B"/>
    <w:multiLevelType w:val="hybridMultilevel"/>
    <w:tmpl w:val="7152B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40B4C"/>
    <w:multiLevelType w:val="hybridMultilevel"/>
    <w:tmpl w:val="38EAC0D0"/>
    <w:lvl w:ilvl="0" w:tplc="DADE336C">
      <w:start w:val="1"/>
      <w:numFmt w:val="bullet"/>
      <w:lvlText w:val=""/>
      <w:lvlJc w:val="left"/>
      <w:pPr>
        <w:ind w:left="1080" w:hanging="360"/>
      </w:pPr>
      <w:rPr>
        <w:rFonts w:ascii="Wingdings" w:hAnsi="Wingdings" w:hint="default"/>
        <w:color w:val="00A5C7"/>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D57BA9"/>
    <w:multiLevelType w:val="multilevel"/>
    <w:tmpl w:val="D952DF06"/>
    <w:lvl w:ilvl="0">
      <w:start w:val="1"/>
      <w:numFmt w:val="decimal"/>
      <w:pStyle w:val="NumberedParagraph"/>
      <w:lvlText w:val="%1."/>
      <w:lvlJc w:val="left"/>
      <w:rPr>
        <w:rFonts w:ascii="Arial" w:hAnsi="Arial" w:cs="Arial" w:hint="default"/>
        <w:b/>
        <w:i w:val="0"/>
        <w:caps/>
        <w:strike w:val="0"/>
        <w:dstrike w:val="0"/>
        <w:vanish w:val="0"/>
        <w:color w:val="000000"/>
        <w:sz w:val="24"/>
        <w:vertAlign w:val="baseline"/>
      </w:rPr>
    </w:lvl>
    <w:lvl w:ilvl="1">
      <w:start w:val="1"/>
      <w:numFmt w:val="decimal"/>
      <w:lvlText w:val="%1.%2"/>
      <w:lvlJc w:val="left"/>
      <w:pPr>
        <w:tabs>
          <w:tab w:val="num" w:pos="709"/>
        </w:tabs>
        <w:ind w:left="709" w:hanging="709"/>
      </w:pPr>
      <w:rPr>
        <w:rFonts w:ascii="Arial" w:hAnsi="Arial" w:cs="Arial" w:hint="default"/>
        <w:b w:val="0"/>
        <w:i w:val="0"/>
        <w:sz w:val="24"/>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237621C3"/>
    <w:multiLevelType w:val="hybridMultilevel"/>
    <w:tmpl w:val="E6A00C84"/>
    <w:lvl w:ilvl="0" w:tplc="DADE336C">
      <w:start w:val="1"/>
      <w:numFmt w:val="bullet"/>
      <w:lvlText w:val=""/>
      <w:lvlJc w:val="left"/>
      <w:pPr>
        <w:ind w:left="360" w:hanging="360"/>
      </w:pPr>
      <w:rPr>
        <w:rFonts w:ascii="Wingdings" w:hAnsi="Wingdings" w:hint="default"/>
        <w:color w:val="00A5C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1152D6"/>
    <w:multiLevelType w:val="hybridMultilevel"/>
    <w:tmpl w:val="2E6E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26F6D"/>
    <w:multiLevelType w:val="hybridMultilevel"/>
    <w:tmpl w:val="8E40BB42"/>
    <w:lvl w:ilvl="0" w:tplc="DADE336C">
      <w:start w:val="1"/>
      <w:numFmt w:val="bullet"/>
      <w:lvlText w:val=""/>
      <w:lvlJc w:val="left"/>
      <w:pPr>
        <w:ind w:left="360" w:hanging="360"/>
      </w:pPr>
      <w:rPr>
        <w:rFonts w:ascii="Wingdings" w:hAnsi="Wingdings" w:hint="default"/>
        <w:color w:val="00A5C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10660C8"/>
    <w:multiLevelType w:val="hybridMultilevel"/>
    <w:tmpl w:val="639CC2E0"/>
    <w:lvl w:ilvl="0" w:tplc="8FC85290">
      <w:start w:val="1"/>
      <w:numFmt w:val="bullet"/>
      <w:lvlText w:val="•"/>
      <w:lvlJc w:val="left"/>
      <w:pPr>
        <w:tabs>
          <w:tab w:val="num" w:pos="720"/>
        </w:tabs>
        <w:ind w:left="720" w:hanging="360"/>
      </w:pPr>
      <w:rPr>
        <w:rFonts w:ascii="Arial" w:hAnsi="Arial" w:hint="default"/>
      </w:rPr>
    </w:lvl>
    <w:lvl w:ilvl="1" w:tplc="B054FB4C" w:tentative="1">
      <w:start w:val="1"/>
      <w:numFmt w:val="bullet"/>
      <w:lvlText w:val="•"/>
      <w:lvlJc w:val="left"/>
      <w:pPr>
        <w:tabs>
          <w:tab w:val="num" w:pos="1440"/>
        </w:tabs>
        <w:ind w:left="1440" w:hanging="360"/>
      </w:pPr>
      <w:rPr>
        <w:rFonts w:ascii="Arial" w:hAnsi="Arial" w:hint="default"/>
      </w:rPr>
    </w:lvl>
    <w:lvl w:ilvl="2" w:tplc="399A1522" w:tentative="1">
      <w:start w:val="1"/>
      <w:numFmt w:val="bullet"/>
      <w:lvlText w:val="•"/>
      <w:lvlJc w:val="left"/>
      <w:pPr>
        <w:tabs>
          <w:tab w:val="num" w:pos="2160"/>
        </w:tabs>
        <w:ind w:left="2160" w:hanging="360"/>
      </w:pPr>
      <w:rPr>
        <w:rFonts w:ascii="Arial" w:hAnsi="Arial" w:hint="default"/>
      </w:rPr>
    </w:lvl>
    <w:lvl w:ilvl="3" w:tplc="1494EC0E" w:tentative="1">
      <w:start w:val="1"/>
      <w:numFmt w:val="bullet"/>
      <w:lvlText w:val="•"/>
      <w:lvlJc w:val="left"/>
      <w:pPr>
        <w:tabs>
          <w:tab w:val="num" w:pos="2880"/>
        </w:tabs>
        <w:ind w:left="2880" w:hanging="360"/>
      </w:pPr>
      <w:rPr>
        <w:rFonts w:ascii="Arial" w:hAnsi="Arial" w:hint="default"/>
      </w:rPr>
    </w:lvl>
    <w:lvl w:ilvl="4" w:tplc="6CEE76DA" w:tentative="1">
      <w:start w:val="1"/>
      <w:numFmt w:val="bullet"/>
      <w:lvlText w:val="•"/>
      <w:lvlJc w:val="left"/>
      <w:pPr>
        <w:tabs>
          <w:tab w:val="num" w:pos="3600"/>
        </w:tabs>
        <w:ind w:left="3600" w:hanging="360"/>
      </w:pPr>
      <w:rPr>
        <w:rFonts w:ascii="Arial" w:hAnsi="Arial" w:hint="default"/>
      </w:rPr>
    </w:lvl>
    <w:lvl w:ilvl="5" w:tplc="E7E601E0" w:tentative="1">
      <w:start w:val="1"/>
      <w:numFmt w:val="bullet"/>
      <w:lvlText w:val="•"/>
      <w:lvlJc w:val="left"/>
      <w:pPr>
        <w:tabs>
          <w:tab w:val="num" w:pos="4320"/>
        </w:tabs>
        <w:ind w:left="4320" w:hanging="360"/>
      </w:pPr>
      <w:rPr>
        <w:rFonts w:ascii="Arial" w:hAnsi="Arial" w:hint="default"/>
      </w:rPr>
    </w:lvl>
    <w:lvl w:ilvl="6" w:tplc="6776A84A" w:tentative="1">
      <w:start w:val="1"/>
      <w:numFmt w:val="bullet"/>
      <w:lvlText w:val="•"/>
      <w:lvlJc w:val="left"/>
      <w:pPr>
        <w:tabs>
          <w:tab w:val="num" w:pos="5040"/>
        </w:tabs>
        <w:ind w:left="5040" w:hanging="360"/>
      </w:pPr>
      <w:rPr>
        <w:rFonts w:ascii="Arial" w:hAnsi="Arial" w:hint="default"/>
      </w:rPr>
    </w:lvl>
    <w:lvl w:ilvl="7" w:tplc="B070430E" w:tentative="1">
      <w:start w:val="1"/>
      <w:numFmt w:val="bullet"/>
      <w:lvlText w:val="•"/>
      <w:lvlJc w:val="left"/>
      <w:pPr>
        <w:tabs>
          <w:tab w:val="num" w:pos="5760"/>
        </w:tabs>
        <w:ind w:left="5760" w:hanging="360"/>
      </w:pPr>
      <w:rPr>
        <w:rFonts w:ascii="Arial" w:hAnsi="Arial" w:hint="default"/>
      </w:rPr>
    </w:lvl>
    <w:lvl w:ilvl="8" w:tplc="CEBEE44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B22C7E"/>
    <w:multiLevelType w:val="hybridMultilevel"/>
    <w:tmpl w:val="71868E3E"/>
    <w:lvl w:ilvl="0" w:tplc="DADE336C">
      <w:start w:val="1"/>
      <w:numFmt w:val="bullet"/>
      <w:lvlText w:val=""/>
      <w:lvlJc w:val="left"/>
      <w:pPr>
        <w:ind w:left="360" w:hanging="360"/>
      </w:pPr>
      <w:rPr>
        <w:rFonts w:ascii="Wingdings" w:hAnsi="Wingdings" w:hint="default"/>
        <w:color w:val="00A5C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7DE7111"/>
    <w:multiLevelType w:val="hybridMultilevel"/>
    <w:tmpl w:val="CE3C6C6C"/>
    <w:lvl w:ilvl="0" w:tplc="DADE336C">
      <w:start w:val="1"/>
      <w:numFmt w:val="bullet"/>
      <w:lvlText w:val=""/>
      <w:lvlJc w:val="left"/>
      <w:pPr>
        <w:ind w:left="720" w:hanging="360"/>
      </w:pPr>
      <w:rPr>
        <w:rFonts w:ascii="Wingdings" w:hAnsi="Wingdings" w:hint="default"/>
        <w:color w:val="00A5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121E65"/>
    <w:multiLevelType w:val="hybridMultilevel"/>
    <w:tmpl w:val="8A52CFE4"/>
    <w:lvl w:ilvl="0" w:tplc="DADE336C">
      <w:start w:val="1"/>
      <w:numFmt w:val="bullet"/>
      <w:lvlText w:val=""/>
      <w:lvlJc w:val="left"/>
      <w:pPr>
        <w:ind w:left="360" w:hanging="360"/>
      </w:pPr>
      <w:rPr>
        <w:rFonts w:ascii="Wingdings" w:hAnsi="Wingdings" w:hint="default"/>
        <w:color w:val="00A5C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1A0B19"/>
    <w:multiLevelType w:val="multilevel"/>
    <w:tmpl w:val="A00EB4E4"/>
    <w:lvl w:ilvl="0">
      <w:start w:val="1"/>
      <w:numFmt w:val="decimal"/>
      <w:lvlText w:val="%1."/>
      <w:lvlJc w:val="left"/>
      <w:pPr>
        <w:ind w:left="360" w:hanging="360"/>
      </w:pPr>
      <w:rPr>
        <w:rFonts w:hint="default"/>
      </w:rPr>
    </w:lvl>
    <w:lvl w:ilvl="1">
      <w:start w:val="1"/>
      <w:numFmt w:val="decimal"/>
      <w:pStyle w:val="Sub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BD4242"/>
    <w:multiLevelType w:val="hybridMultilevel"/>
    <w:tmpl w:val="42947FB4"/>
    <w:lvl w:ilvl="0" w:tplc="DADE336C">
      <w:start w:val="1"/>
      <w:numFmt w:val="bullet"/>
      <w:lvlText w:val=""/>
      <w:lvlJc w:val="left"/>
      <w:pPr>
        <w:ind w:left="720" w:hanging="360"/>
      </w:pPr>
      <w:rPr>
        <w:rFonts w:ascii="Wingdings" w:hAnsi="Wingdings" w:hint="default"/>
        <w:color w:val="00A5C7"/>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95779"/>
    <w:multiLevelType w:val="hybridMultilevel"/>
    <w:tmpl w:val="22187010"/>
    <w:lvl w:ilvl="0" w:tplc="DADE336C">
      <w:start w:val="1"/>
      <w:numFmt w:val="bullet"/>
      <w:lvlText w:val=""/>
      <w:lvlJc w:val="left"/>
      <w:pPr>
        <w:ind w:left="720" w:hanging="360"/>
      </w:pPr>
      <w:rPr>
        <w:rFonts w:ascii="Wingdings" w:hAnsi="Wingdings" w:hint="default"/>
        <w:color w:val="00A5C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2672D31"/>
    <w:multiLevelType w:val="hybridMultilevel"/>
    <w:tmpl w:val="DF8EF36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3D74265"/>
    <w:multiLevelType w:val="hybridMultilevel"/>
    <w:tmpl w:val="B018270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1" w15:restartNumberingAfterBreak="0">
    <w:nsid w:val="48D83911"/>
    <w:multiLevelType w:val="hybridMultilevel"/>
    <w:tmpl w:val="20CCBBE2"/>
    <w:lvl w:ilvl="0" w:tplc="DADE336C">
      <w:start w:val="1"/>
      <w:numFmt w:val="bullet"/>
      <w:lvlText w:val=""/>
      <w:lvlJc w:val="left"/>
      <w:pPr>
        <w:ind w:left="360" w:hanging="360"/>
      </w:pPr>
      <w:rPr>
        <w:rFonts w:ascii="Wingdings" w:hAnsi="Wingdings" w:hint="default"/>
        <w:color w:val="00A5C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9D419A"/>
    <w:multiLevelType w:val="hybridMultilevel"/>
    <w:tmpl w:val="C6BA6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42360"/>
    <w:multiLevelType w:val="hybridMultilevel"/>
    <w:tmpl w:val="95BCED94"/>
    <w:lvl w:ilvl="0" w:tplc="DADE336C">
      <w:start w:val="1"/>
      <w:numFmt w:val="bullet"/>
      <w:lvlText w:val=""/>
      <w:lvlJc w:val="left"/>
      <w:pPr>
        <w:ind w:left="360" w:hanging="360"/>
      </w:pPr>
      <w:rPr>
        <w:rFonts w:ascii="Wingdings" w:hAnsi="Wingdings" w:hint="default"/>
        <w:color w:val="00A5C7"/>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8E0F92"/>
    <w:multiLevelType w:val="hybridMultilevel"/>
    <w:tmpl w:val="1C681324"/>
    <w:lvl w:ilvl="0" w:tplc="DADE336C">
      <w:start w:val="1"/>
      <w:numFmt w:val="bullet"/>
      <w:lvlText w:val=""/>
      <w:lvlJc w:val="left"/>
      <w:pPr>
        <w:ind w:left="720" w:hanging="360"/>
      </w:pPr>
      <w:rPr>
        <w:rFonts w:ascii="Wingdings" w:hAnsi="Wingdings" w:hint="default"/>
        <w:color w:val="00A5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5115A"/>
    <w:multiLevelType w:val="multilevel"/>
    <w:tmpl w:val="C9F2F7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2DD019E"/>
    <w:multiLevelType w:val="multilevel"/>
    <w:tmpl w:val="78E69AD8"/>
    <w:lvl w:ilvl="0">
      <w:start w:val="1"/>
      <w:numFmt w:val="decimal"/>
      <w:lvlText w:val="%1"/>
      <w:lvlJc w:val="left"/>
      <w:pPr>
        <w:ind w:left="360" w:hanging="360"/>
      </w:pPr>
      <w:rPr>
        <w:rFonts w:hint="default"/>
      </w:rPr>
    </w:lvl>
    <w:lvl w:ilvl="1">
      <w:start w:val="6"/>
      <w:numFmt w:val="decimal"/>
      <w:lvlText w:val="%1.%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27" w15:restartNumberingAfterBreak="0">
    <w:nsid w:val="62DF5DAC"/>
    <w:multiLevelType w:val="hybridMultilevel"/>
    <w:tmpl w:val="B2C00DFA"/>
    <w:lvl w:ilvl="0" w:tplc="DADE336C">
      <w:start w:val="1"/>
      <w:numFmt w:val="bullet"/>
      <w:lvlText w:val=""/>
      <w:lvlJc w:val="left"/>
      <w:pPr>
        <w:ind w:left="360" w:hanging="360"/>
      </w:pPr>
      <w:rPr>
        <w:rFonts w:ascii="Wingdings" w:hAnsi="Wingdings" w:hint="default"/>
        <w:color w:val="00A5C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2F10CF2"/>
    <w:multiLevelType w:val="hybridMultilevel"/>
    <w:tmpl w:val="7E18DEB4"/>
    <w:lvl w:ilvl="0" w:tplc="DADE336C">
      <w:start w:val="1"/>
      <w:numFmt w:val="bullet"/>
      <w:lvlText w:val=""/>
      <w:lvlJc w:val="left"/>
      <w:pPr>
        <w:ind w:left="720" w:hanging="360"/>
      </w:pPr>
      <w:rPr>
        <w:rFonts w:ascii="Wingdings" w:hAnsi="Wingdings" w:hint="default"/>
        <w:color w:val="00A5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F4E17"/>
    <w:multiLevelType w:val="hybridMultilevel"/>
    <w:tmpl w:val="FC74B8CC"/>
    <w:lvl w:ilvl="0" w:tplc="40FC62B0">
      <w:start w:val="1"/>
      <w:numFmt w:val="bullet"/>
      <w:lvlText w:val="•"/>
      <w:lvlJc w:val="left"/>
      <w:pPr>
        <w:ind w:left="1429" w:hanging="360"/>
      </w:pPr>
      <w:rPr>
        <w:rFonts w:ascii="Arial" w:hAnsi="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6396D8A"/>
    <w:multiLevelType w:val="hybridMultilevel"/>
    <w:tmpl w:val="DE4C86EC"/>
    <w:lvl w:ilvl="0" w:tplc="DADE336C">
      <w:start w:val="1"/>
      <w:numFmt w:val="bullet"/>
      <w:lvlText w:val=""/>
      <w:lvlJc w:val="left"/>
      <w:pPr>
        <w:ind w:left="360" w:hanging="360"/>
      </w:pPr>
      <w:rPr>
        <w:rFonts w:ascii="Wingdings" w:hAnsi="Wingdings" w:hint="default"/>
        <w:color w:val="00A5C7"/>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97F7768"/>
    <w:multiLevelType w:val="hybridMultilevel"/>
    <w:tmpl w:val="14CA104C"/>
    <w:lvl w:ilvl="0" w:tplc="DADE336C">
      <w:start w:val="1"/>
      <w:numFmt w:val="bullet"/>
      <w:lvlText w:val=""/>
      <w:lvlJc w:val="left"/>
      <w:pPr>
        <w:ind w:left="720" w:hanging="360"/>
      </w:pPr>
      <w:rPr>
        <w:rFonts w:ascii="Wingdings" w:hAnsi="Wingdings" w:hint="default"/>
        <w:color w:val="00A5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E471B4"/>
    <w:multiLevelType w:val="hybridMultilevel"/>
    <w:tmpl w:val="AE989002"/>
    <w:lvl w:ilvl="0" w:tplc="DADE336C">
      <w:start w:val="1"/>
      <w:numFmt w:val="bullet"/>
      <w:lvlText w:val=""/>
      <w:lvlJc w:val="left"/>
      <w:pPr>
        <w:ind w:left="1032" w:hanging="360"/>
      </w:pPr>
      <w:rPr>
        <w:rFonts w:ascii="Wingdings" w:hAnsi="Wingdings" w:hint="default"/>
        <w:color w:val="00A5C7"/>
      </w:rPr>
    </w:lvl>
    <w:lvl w:ilvl="1" w:tplc="08090003" w:tentative="1">
      <w:start w:val="1"/>
      <w:numFmt w:val="bullet"/>
      <w:lvlText w:val="o"/>
      <w:lvlJc w:val="left"/>
      <w:pPr>
        <w:ind w:left="1752" w:hanging="360"/>
      </w:pPr>
      <w:rPr>
        <w:rFonts w:ascii="Courier New" w:hAnsi="Courier New" w:cs="Courier New" w:hint="default"/>
      </w:rPr>
    </w:lvl>
    <w:lvl w:ilvl="2" w:tplc="08090005" w:tentative="1">
      <w:start w:val="1"/>
      <w:numFmt w:val="bullet"/>
      <w:lvlText w:val=""/>
      <w:lvlJc w:val="left"/>
      <w:pPr>
        <w:ind w:left="2472" w:hanging="360"/>
      </w:pPr>
      <w:rPr>
        <w:rFonts w:ascii="Wingdings" w:hAnsi="Wingdings" w:hint="default"/>
      </w:rPr>
    </w:lvl>
    <w:lvl w:ilvl="3" w:tplc="08090001" w:tentative="1">
      <w:start w:val="1"/>
      <w:numFmt w:val="bullet"/>
      <w:lvlText w:val=""/>
      <w:lvlJc w:val="left"/>
      <w:pPr>
        <w:ind w:left="3192" w:hanging="360"/>
      </w:pPr>
      <w:rPr>
        <w:rFonts w:ascii="Symbol" w:hAnsi="Symbol" w:hint="default"/>
      </w:rPr>
    </w:lvl>
    <w:lvl w:ilvl="4" w:tplc="08090003" w:tentative="1">
      <w:start w:val="1"/>
      <w:numFmt w:val="bullet"/>
      <w:lvlText w:val="o"/>
      <w:lvlJc w:val="left"/>
      <w:pPr>
        <w:ind w:left="3912" w:hanging="360"/>
      </w:pPr>
      <w:rPr>
        <w:rFonts w:ascii="Courier New" w:hAnsi="Courier New" w:cs="Courier New" w:hint="default"/>
      </w:rPr>
    </w:lvl>
    <w:lvl w:ilvl="5" w:tplc="08090005" w:tentative="1">
      <w:start w:val="1"/>
      <w:numFmt w:val="bullet"/>
      <w:lvlText w:val=""/>
      <w:lvlJc w:val="left"/>
      <w:pPr>
        <w:ind w:left="4632" w:hanging="360"/>
      </w:pPr>
      <w:rPr>
        <w:rFonts w:ascii="Wingdings" w:hAnsi="Wingdings" w:hint="default"/>
      </w:rPr>
    </w:lvl>
    <w:lvl w:ilvl="6" w:tplc="08090001" w:tentative="1">
      <w:start w:val="1"/>
      <w:numFmt w:val="bullet"/>
      <w:lvlText w:val=""/>
      <w:lvlJc w:val="left"/>
      <w:pPr>
        <w:ind w:left="5352" w:hanging="360"/>
      </w:pPr>
      <w:rPr>
        <w:rFonts w:ascii="Symbol" w:hAnsi="Symbol" w:hint="default"/>
      </w:rPr>
    </w:lvl>
    <w:lvl w:ilvl="7" w:tplc="08090003" w:tentative="1">
      <w:start w:val="1"/>
      <w:numFmt w:val="bullet"/>
      <w:lvlText w:val="o"/>
      <w:lvlJc w:val="left"/>
      <w:pPr>
        <w:ind w:left="6072" w:hanging="360"/>
      </w:pPr>
      <w:rPr>
        <w:rFonts w:ascii="Courier New" w:hAnsi="Courier New" w:cs="Courier New" w:hint="default"/>
      </w:rPr>
    </w:lvl>
    <w:lvl w:ilvl="8" w:tplc="08090005" w:tentative="1">
      <w:start w:val="1"/>
      <w:numFmt w:val="bullet"/>
      <w:lvlText w:val=""/>
      <w:lvlJc w:val="left"/>
      <w:pPr>
        <w:ind w:left="6792" w:hanging="360"/>
      </w:pPr>
      <w:rPr>
        <w:rFonts w:ascii="Wingdings" w:hAnsi="Wingdings" w:hint="default"/>
      </w:rPr>
    </w:lvl>
  </w:abstractNum>
  <w:abstractNum w:abstractNumId="33" w15:restartNumberingAfterBreak="0">
    <w:nsid w:val="72DE0D19"/>
    <w:multiLevelType w:val="hybridMultilevel"/>
    <w:tmpl w:val="5420A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B46C4A"/>
    <w:multiLevelType w:val="hybridMultilevel"/>
    <w:tmpl w:val="328EBCF4"/>
    <w:lvl w:ilvl="0" w:tplc="DADE336C">
      <w:start w:val="1"/>
      <w:numFmt w:val="bullet"/>
      <w:lvlText w:val=""/>
      <w:lvlJc w:val="left"/>
      <w:pPr>
        <w:ind w:left="720" w:hanging="360"/>
      </w:pPr>
      <w:rPr>
        <w:rFonts w:ascii="Wingdings" w:hAnsi="Wingdings" w:hint="default"/>
        <w:color w:val="00A5C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0A1543"/>
    <w:multiLevelType w:val="hybridMultilevel"/>
    <w:tmpl w:val="C096EF02"/>
    <w:lvl w:ilvl="0" w:tplc="D7CAE1F8">
      <w:start w:val="1"/>
      <w:numFmt w:val="bullet"/>
      <w:lvlText w:val="•"/>
      <w:lvlJc w:val="left"/>
      <w:pPr>
        <w:tabs>
          <w:tab w:val="num" w:pos="720"/>
        </w:tabs>
        <w:ind w:left="720" w:hanging="360"/>
      </w:pPr>
      <w:rPr>
        <w:rFonts w:ascii="Arial" w:hAnsi="Arial" w:hint="default"/>
      </w:rPr>
    </w:lvl>
    <w:lvl w:ilvl="1" w:tplc="A2228CA2" w:tentative="1">
      <w:start w:val="1"/>
      <w:numFmt w:val="bullet"/>
      <w:lvlText w:val="•"/>
      <w:lvlJc w:val="left"/>
      <w:pPr>
        <w:tabs>
          <w:tab w:val="num" w:pos="1440"/>
        </w:tabs>
        <w:ind w:left="1440" w:hanging="360"/>
      </w:pPr>
      <w:rPr>
        <w:rFonts w:ascii="Arial" w:hAnsi="Arial" w:hint="default"/>
      </w:rPr>
    </w:lvl>
    <w:lvl w:ilvl="2" w:tplc="84ECF5FA" w:tentative="1">
      <w:start w:val="1"/>
      <w:numFmt w:val="bullet"/>
      <w:lvlText w:val="•"/>
      <w:lvlJc w:val="left"/>
      <w:pPr>
        <w:tabs>
          <w:tab w:val="num" w:pos="2160"/>
        </w:tabs>
        <w:ind w:left="2160" w:hanging="360"/>
      </w:pPr>
      <w:rPr>
        <w:rFonts w:ascii="Arial" w:hAnsi="Arial" w:hint="default"/>
      </w:rPr>
    </w:lvl>
    <w:lvl w:ilvl="3" w:tplc="02F6FCDC" w:tentative="1">
      <w:start w:val="1"/>
      <w:numFmt w:val="bullet"/>
      <w:lvlText w:val="•"/>
      <w:lvlJc w:val="left"/>
      <w:pPr>
        <w:tabs>
          <w:tab w:val="num" w:pos="2880"/>
        </w:tabs>
        <w:ind w:left="2880" w:hanging="360"/>
      </w:pPr>
      <w:rPr>
        <w:rFonts w:ascii="Arial" w:hAnsi="Arial" w:hint="default"/>
      </w:rPr>
    </w:lvl>
    <w:lvl w:ilvl="4" w:tplc="3D762292" w:tentative="1">
      <w:start w:val="1"/>
      <w:numFmt w:val="bullet"/>
      <w:lvlText w:val="•"/>
      <w:lvlJc w:val="left"/>
      <w:pPr>
        <w:tabs>
          <w:tab w:val="num" w:pos="3600"/>
        </w:tabs>
        <w:ind w:left="3600" w:hanging="360"/>
      </w:pPr>
      <w:rPr>
        <w:rFonts w:ascii="Arial" w:hAnsi="Arial" w:hint="default"/>
      </w:rPr>
    </w:lvl>
    <w:lvl w:ilvl="5" w:tplc="7E82B97C" w:tentative="1">
      <w:start w:val="1"/>
      <w:numFmt w:val="bullet"/>
      <w:lvlText w:val="•"/>
      <w:lvlJc w:val="left"/>
      <w:pPr>
        <w:tabs>
          <w:tab w:val="num" w:pos="4320"/>
        </w:tabs>
        <w:ind w:left="4320" w:hanging="360"/>
      </w:pPr>
      <w:rPr>
        <w:rFonts w:ascii="Arial" w:hAnsi="Arial" w:hint="default"/>
      </w:rPr>
    </w:lvl>
    <w:lvl w:ilvl="6" w:tplc="78B65AFA" w:tentative="1">
      <w:start w:val="1"/>
      <w:numFmt w:val="bullet"/>
      <w:lvlText w:val="•"/>
      <w:lvlJc w:val="left"/>
      <w:pPr>
        <w:tabs>
          <w:tab w:val="num" w:pos="5040"/>
        </w:tabs>
        <w:ind w:left="5040" w:hanging="360"/>
      </w:pPr>
      <w:rPr>
        <w:rFonts w:ascii="Arial" w:hAnsi="Arial" w:hint="default"/>
      </w:rPr>
    </w:lvl>
    <w:lvl w:ilvl="7" w:tplc="9F145E66" w:tentative="1">
      <w:start w:val="1"/>
      <w:numFmt w:val="bullet"/>
      <w:lvlText w:val="•"/>
      <w:lvlJc w:val="left"/>
      <w:pPr>
        <w:tabs>
          <w:tab w:val="num" w:pos="5760"/>
        </w:tabs>
        <w:ind w:left="5760" w:hanging="360"/>
      </w:pPr>
      <w:rPr>
        <w:rFonts w:ascii="Arial" w:hAnsi="Arial" w:hint="default"/>
      </w:rPr>
    </w:lvl>
    <w:lvl w:ilvl="8" w:tplc="D0CE0EF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858095B"/>
    <w:multiLevelType w:val="multilevel"/>
    <w:tmpl w:val="4AF4C75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E21F96"/>
    <w:multiLevelType w:val="hybridMultilevel"/>
    <w:tmpl w:val="FA9CE6C2"/>
    <w:lvl w:ilvl="0" w:tplc="DADE336C">
      <w:start w:val="1"/>
      <w:numFmt w:val="bullet"/>
      <w:lvlText w:val=""/>
      <w:lvlJc w:val="left"/>
      <w:pPr>
        <w:ind w:left="360" w:hanging="360"/>
      </w:pPr>
      <w:rPr>
        <w:rFonts w:ascii="Wingdings" w:hAnsi="Wingdings" w:hint="default"/>
        <w:color w:val="00A5C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0397573">
    <w:abstractNumId w:val="16"/>
  </w:num>
  <w:num w:numId="2" w16cid:durableId="272321935">
    <w:abstractNumId w:val="6"/>
  </w:num>
  <w:num w:numId="3" w16cid:durableId="1916089314">
    <w:abstractNumId w:val="1"/>
  </w:num>
  <w:num w:numId="4" w16cid:durableId="1397242959">
    <w:abstractNumId w:val="8"/>
  </w:num>
  <w:num w:numId="5" w16cid:durableId="781994672">
    <w:abstractNumId w:val="4"/>
  </w:num>
  <w:num w:numId="6" w16cid:durableId="1920016544">
    <w:abstractNumId w:val="23"/>
  </w:num>
  <w:num w:numId="7" w16cid:durableId="1625573189">
    <w:abstractNumId w:val="27"/>
  </w:num>
  <w:num w:numId="8" w16cid:durableId="743995136">
    <w:abstractNumId w:val="7"/>
  </w:num>
  <w:num w:numId="9" w16cid:durableId="139545372">
    <w:abstractNumId w:val="5"/>
  </w:num>
  <w:num w:numId="10" w16cid:durableId="970129514">
    <w:abstractNumId w:val="35"/>
  </w:num>
  <w:num w:numId="11" w16cid:durableId="2049261949">
    <w:abstractNumId w:val="12"/>
  </w:num>
  <w:num w:numId="12" w16cid:durableId="124743261">
    <w:abstractNumId w:val="11"/>
  </w:num>
  <w:num w:numId="13" w16cid:durableId="703096235">
    <w:abstractNumId w:val="9"/>
  </w:num>
  <w:num w:numId="14" w16cid:durableId="1745689094">
    <w:abstractNumId w:val="25"/>
  </w:num>
  <w:num w:numId="15" w16cid:durableId="1956474561">
    <w:abstractNumId w:val="26"/>
  </w:num>
  <w:num w:numId="16" w16cid:durableId="1721904747">
    <w:abstractNumId w:val="36"/>
  </w:num>
  <w:num w:numId="17" w16cid:durableId="1106656788">
    <w:abstractNumId w:val="3"/>
  </w:num>
  <w:num w:numId="18" w16cid:durableId="637804488">
    <w:abstractNumId w:val="30"/>
  </w:num>
  <w:num w:numId="19" w16cid:durableId="1391075625">
    <w:abstractNumId w:val="28"/>
  </w:num>
  <w:num w:numId="20" w16cid:durableId="348798846">
    <w:abstractNumId w:val="18"/>
  </w:num>
  <w:num w:numId="21" w16cid:durableId="618873648">
    <w:abstractNumId w:val="21"/>
  </w:num>
  <w:num w:numId="22" w16cid:durableId="611322771">
    <w:abstractNumId w:val="13"/>
  </w:num>
  <w:num w:numId="23" w16cid:durableId="693850873">
    <w:abstractNumId w:val="32"/>
  </w:num>
  <w:num w:numId="24" w16cid:durableId="610019638">
    <w:abstractNumId w:val="20"/>
  </w:num>
  <w:num w:numId="25" w16cid:durableId="438571695">
    <w:abstractNumId w:val="33"/>
  </w:num>
  <w:num w:numId="26" w16cid:durableId="1703090138">
    <w:abstractNumId w:val="22"/>
  </w:num>
  <w:num w:numId="27" w16cid:durableId="243295693">
    <w:abstractNumId w:val="10"/>
  </w:num>
  <w:num w:numId="28" w16cid:durableId="1942570545">
    <w:abstractNumId w:val="2"/>
  </w:num>
  <w:num w:numId="29" w16cid:durableId="1674528811">
    <w:abstractNumId w:val="24"/>
  </w:num>
  <w:num w:numId="30" w16cid:durableId="249824018">
    <w:abstractNumId w:val="31"/>
  </w:num>
  <w:num w:numId="31" w16cid:durableId="770272846">
    <w:abstractNumId w:val="34"/>
  </w:num>
  <w:num w:numId="32" w16cid:durableId="895168032">
    <w:abstractNumId w:val="17"/>
  </w:num>
  <w:num w:numId="33" w16cid:durableId="1784373356">
    <w:abstractNumId w:val="0"/>
  </w:num>
  <w:num w:numId="34" w16cid:durableId="1526022799">
    <w:abstractNumId w:val="14"/>
  </w:num>
  <w:num w:numId="35" w16cid:durableId="1998410720">
    <w:abstractNumId w:val="37"/>
  </w:num>
  <w:num w:numId="36" w16cid:durableId="1987126045">
    <w:abstractNumId w:val="15"/>
  </w:num>
  <w:num w:numId="37" w16cid:durableId="962349339">
    <w:abstractNumId w:val="19"/>
  </w:num>
  <w:num w:numId="38" w16cid:durableId="1133717555">
    <w:abstractNumId w:val="29"/>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gh Coyle">
    <w15:presenceInfo w15:providerId="AD" w15:userId="S::hugh.coyle@falkirk.gov.uk::664d8cd3-8e3b-4acb-9f8a-48bc5c946b73"/>
  </w15:person>
  <w15:person w15:author="Amanda Templeman">
    <w15:presenceInfo w15:providerId="AD" w15:userId="S::amanda.templeman@falkirk.gov.uk::eba4d4e2-34b0-4dd4-a946-fdaafa3c5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B6"/>
    <w:rsid w:val="000005A1"/>
    <w:rsid w:val="00001412"/>
    <w:rsid w:val="00005345"/>
    <w:rsid w:val="00007788"/>
    <w:rsid w:val="00011A16"/>
    <w:rsid w:val="00012F8A"/>
    <w:rsid w:val="00014A18"/>
    <w:rsid w:val="00015444"/>
    <w:rsid w:val="00017952"/>
    <w:rsid w:val="00017A89"/>
    <w:rsid w:val="000207E2"/>
    <w:rsid w:val="000236CB"/>
    <w:rsid w:val="00023E78"/>
    <w:rsid w:val="00023E8B"/>
    <w:rsid w:val="000258B9"/>
    <w:rsid w:val="00027C45"/>
    <w:rsid w:val="00031D34"/>
    <w:rsid w:val="000353C7"/>
    <w:rsid w:val="0003569E"/>
    <w:rsid w:val="0004035E"/>
    <w:rsid w:val="000422F8"/>
    <w:rsid w:val="000458F9"/>
    <w:rsid w:val="00045BAF"/>
    <w:rsid w:val="000477BA"/>
    <w:rsid w:val="00055966"/>
    <w:rsid w:val="00056097"/>
    <w:rsid w:val="00060532"/>
    <w:rsid w:val="00060CB9"/>
    <w:rsid w:val="00061EE3"/>
    <w:rsid w:val="00062997"/>
    <w:rsid w:val="00063349"/>
    <w:rsid w:val="0006397E"/>
    <w:rsid w:val="00064D57"/>
    <w:rsid w:val="000653B8"/>
    <w:rsid w:val="00071A49"/>
    <w:rsid w:val="00074A47"/>
    <w:rsid w:val="00074B74"/>
    <w:rsid w:val="00081EC4"/>
    <w:rsid w:val="00082BED"/>
    <w:rsid w:val="00083A33"/>
    <w:rsid w:val="000841A7"/>
    <w:rsid w:val="000876BE"/>
    <w:rsid w:val="000909DD"/>
    <w:rsid w:val="00092724"/>
    <w:rsid w:val="00092F4E"/>
    <w:rsid w:val="00092F57"/>
    <w:rsid w:val="00096B6D"/>
    <w:rsid w:val="00097622"/>
    <w:rsid w:val="0009781F"/>
    <w:rsid w:val="000A24D9"/>
    <w:rsid w:val="000A3455"/>
    <w:rsid w:val="000A6E66"/>
    <w:rsid w:val="000A79EB"/>
    <w:rsid w:val="000B0DAB"/>
    <w:rsid w:val="000B151E"/>
    <w:rsid w:val="000B3033"/>
    <w:rsid w:val="000B3C42"/>
    <w:rsid w:val="000B4BFD"/>
    <w:rsid w:val="000B6AD6"/>
    <w:rsid w:val="000C20FB"/>
    <w:rsid w:val="000C24EF"/>
    <w:rsid w:val="000C7531"/>
    <w:rsid w:val="000D0603"/>
    <w:rsid w:val="000D079A"/>
    <w:rsid w:val="000D1905"/>
    <w:rsid w:val="000D2A31"/>
    <w:rsid w:val="000D2FB2"/>
    <w:rsid w:val="000E09FF"/>
    <w:rsid w:val="000E39AB"/>
    <w:rsid w:val="000E4016"/>
    <w:rsid w:val="000E4B6E"/>
    <w:rsid w:val="000E6603"/>
    <w:rsid w:val="000F01D5"/>
    <w:rsid w:val="000F112A"/>
    <w:rsid w:val="000F27E0"/>
    <w:rsid w:val="000F3BF1"/>
    <w:rsid w:val="000F7C7C"/>
    <w:rsid w:val="00106027"/>
    <w:rsid w:val="001067F4"/>
    <w:rsid w:val="001071EB"/>
    <w:rsid w:val="001114C4"/>
    <w:rsid w:val="001121FE"/>
    <w:rsid w:val="0011242C"/>
    <w:rsid w:val="00112862"/>
    <w:rsid w:val="00121520"/>
    <w:rsid w:val="0012287F"/>
    <w:rsid w:val="00125115"/>
    <w:rsid w:val="001258A0"/>
    <w:rsid w:val="00125ACE"/>
    <w:rsid w:val="0012620F"/>
    <w:rsid w:val="001270BC"/>
    <w:rsid w:val="001274FC"/>
    <w:rsid w:val="00130173"/>
    <w:rsid w:val="001315AA"/>
    <w:rsid w:val="00131A99"/>
    <w:rsid w:val="00131D8C"/>
    <w:rsid w:val="001343DF"/>
    <w:rsid w:val="0013471A"/>
    <w:rsid w:val="00140CBD"/>
    <w:rsid w:val="0014130C"/>
    <w:rsid w:val="00143D61"/>
    <w:rsid w:val="00146A8A"/>
    <w:rsid w:val="00154071"/>
    <w:rsid w:val="00154BAE"/>
    <w:rsid w:val="00155AED"/>
    <w:rsid w:val="00157BDA"/>
    <w:rsid w:val="001705D4"/>
    <w:rsid w:val="00171F05"/>
    <w:rsid w:val="00172BDF"/>
    <w:rsid w:val="00174592"/>
    <w:rsid w:val="00181128"/>
    <w:rsid w:val="00181266"/>
    <w:rsid w:val="001848A7"/>
    <w:rsid w:val="00186F2E"/>
    <w:rsid w:val="001870B9"/>
    <w:rsid w:val="001941A7"/>
    <w:rsid w:val="001949C8"/>
    <w:rsid w:val="00197435"/>
    <w:rsid w:val="001A0E41"/>
    <w:rsid w:val="001A4223"/>
    <w:rsid w:val="001A6B83"/>
    <w:rsid w:val="001A7BE0"/>
    <w:rsid w:val="001B2C93"/>
    <w:rsid w:val="001B4935"/>
    <w:rsid w:val="001B541A"/>
    <w:rsid w:val="001B7AA5"/>
    <w:rsid w:val="001D03F4"/>
    <w:rsid w:val="001D217D"/>
    <w:rsid w:val="001D2A88"/>
    <w:rsid w:val="001D3043"/>
    <w:rsid w:val="001E259F"/>
    <w:rsid w:val="001E38D1"/>
    <w:rsid w:val="001E3AC0"/>
    <w:rsid w:val="001E479B"/>
    <w:rsid w:val="001E6056"/>
    <w:rsid w:val="001E60A3"/>
    <w:rsid w:val="001E7B0D"/>
    <w:rsid w:val="001E7BEF"/>
    <w:rsid w:val="001F3DB7"/>
    <w:rsid w:val="001F4065"/>
    <w:rsid w:val="001F463C"/>
    <w:rsid w:val="001F5C0E"/>
    <w:rsid w:val="001F7012"/>
    <w:rsid w:val="002014BE"/>
    <w:rsid w:val="002026D6"/>
    <w:rsid w:val="00204698"/>
    <w:rsid w:val="002071E9"/>
    <w:rsid w:val="00211AE0"/>
    <w:rsid w:val="00211BF6"/>
    <w:rsid w:val="00212D85"/>
    <w:rsid w:val="00220C59"/>
    <w:rsid w:val="00221F8F"/>
    <w:rsid w:val="002225B5"/>
    <w:rsid w:val="0022356D"/>
    <w:rsid w:val="00223DB9"/>
    <w:rsid w:val="00224DF1"/>
    <w:rsid w:val="002270B8"/>
    <w:rsid w:val="00231834"/>
    <w:rsid w:val="00233F52"/>
    <w:rsid w:val="00237CBD"/>
    <w:rsid w:val="002407CD"/>
    <w:rsid w:val="002411E9"/>
    <w:rsid w:val="0024167D"/>
    <w:rsid w:val="00242837"/>
    <w:rsid w:val="00244893"/>
    <w:rsid w:val="002448D8"/>
    <w:rsid w:val="0025066E"/>
    <w:rsid w:val="00250995"/>
    <w:rsid w:val="00251346"/>
    <w:rsid w:val="00253392"/>
    <w:rsid w:val="00253FD0"/>
    <w:rsid w:val="0025471A"/>
    <w:rsid w:val="002563A1"/>
    <w:rsid w:val="00256C96"/>
    <w:rsid w:val="00261464"/>
    <w:rsid w:val="00263C38"/>
    <w:rsid w:val="002728C2"/>
    <w:rsid w:val="00272AC5"/>
    <w:rsid w:val="00275649"/>
    <w:rsid w:val="00277D53"/>
    <w:rsid w:val="00277F52"/>
    <w:rsid w:val="00283A80"/>
    <w:rsid w:val="002878E7"/>
    <w:rsid w:val="002908B2"/>
    <w:rsid w:val="00291054"/>
    <w:rsid w:val="002A0292"/>
    <w:rsid w:val="002A06DF"/>
    <w:rsid w:val="002A26E7"/>
    <w:rsid w:val="002A2A46"/>
    <w:rsid w:val="002A3865"/>
    <w:rsid w:val="002A6473"/>
    <w:rsid w:val="002A6F24"/>
    <w:rsid w:val="002B118B"/>
    <w:rsid w:val="002B12C2"/>
    <w:rsid w:val="002B2412"/>
    <w:rsid w:val="002B321B"/>
    <w:rsid w:val="002B697D"/>
    <w:rsid w:val="002B6D33"/>
    <w:rsid w:val="002C14C1"/>
    <w:rsid w:val="002C3352"/>
    <w:rsid w:val="002C348E"/>
    <w:rsid w:val="002C3ED0"/>
    <w:rsid w:val="002C6970"/>
    <w:rsid w:val="002D0124"/>
    <w:rsid w:val="002D0E7B"/>
    <w:rsid w:val="002D25B9"/>
    <w:rsid w:val="002D5A44"/>
    <w:rsid w:val="002D5B61"/>
    <w:rsid w:val="002D5E04"/>
    <w:rsid w:val="002D6439"/>
    <w:rsid w:val="002D6B16"/>
    <w:rsid w:val="002D6E69"/>
    <w:rsid w:val="002D6F98"/>
    <w:rsid w:val="002D75A4"/>
    <w:rsid w:val="002E3EC2"/>
    <w:rsid w:val="002E5E08"/>
    <w:rsid w:val="002F148F"/>
    <w:rsid w:val="002F185B"/>
    <w:rsid w:val="002F3D41"/>
    <w:rsid w:val="00300EA8"/>
    <w:rsid w:val="00301434"/>
    <w:rsid w:val="00301989"/>
    <w:rsid w:val="003022CA"/>
    <w:rsid w:val="003028CE"/>
    <w:rsid w:val="00303C60"/>
    <w:rsid w:val="003044EC"/>
    <w:rsid w:val="00320A1C"/>
    <w:rsid w:val="00321DE9"/>
    <w:rsid w:val="0032520A"/>
    <w:rsid w:val="003255B9"/>
    <w:rsid w:val="00326261"/>
    <w:rsid w:val="003274DE"/>
    <w:rsid w:val="003327A1"/>
    <w:rsid w:val="00332BCF"/>
    <w:rsid w:val="00333C01"/>
    <w:rsid w:val="0033423E"/>
    <w:rsid w:val="00335824"/>
    <w:rsid w:val="00341D8B"/>
    <w:rsid w:val="00342259"/>
    <w:rsid w:val="00342C52"/>
    <w:rsid w:val="00350641"/>
    <w:rsid w:val="003508AE"/>
    <w:rsid w:val="00351F25"/>
    <w:rsid w:val="00353F47"/>
    <w:rsid w:val="00354767"/>
    <w:rsid w:val="003561E9"/>
    <w:rsid w:val="0035624C"/>
    <w:rsid w:val="003568F3"/>
    <w:rsid w:val="00363A9F"/>
    <w:rsid w:val="00371918"/>
    <w:rsid w:val="00371F47"/>
    <w:rsid w:val="003758D5"/>
    <w:rsid w:val="00375D2D"/>
    <w:rsid w:val="0037679C"/>
    <w:rsid w:val="003768AF"/>
    <w:rsid w:val="00376F7F"/>
    <w:rsid w:val="00380BF2"/>
    <w:rsid w:val="00383774"/>
    <w:rsid w:val="00383A26"/>
    <w:rsid w:val="00390114"/>
    <w:rsid w:val="00390BB9"/>
    <w:rsid w:val="003913C8"/>
    <w:rsid w:val="00393940"/>
    <w:rsid w:val="003956E1"/>
    <w:rsid w:val="00397299"/>
    <w:rsid w:val="00397DDA"/>
    <w:rsid w:val="003A0810"/>
    <w:rsid w:val="003A0CFA"/>
    <w:rsid w:val="003A2013"/>
    <w:rsid w:val="003A2687"/>
    <w:rsid w:val="003A2A09"/>
    <w:rsid w:val="003A5E57"/>
    <w:rsid w:val="003A624D"/>
    <w:rsid w:val="003A7D89"/>
    <w:rsid w:val="003B20A1"/>
    <w:rsid w:val="003B3F69"/>
    <w:rsid w:val="003B6B59"/>
    <w:rsid w:val="003B7872"/>
    <w:rsid w:val="003B7CFE"/>
    <w:rsid w:val="003C047C"/>
    <w:rsid w:val="003C0632"/>
    <w:rsid w:val="003C2611"/>
    <w:rsid w:val="003C34B9"/>
    <w:rsid w:val="003C41E4"/>
    <w:rsid w:val="003C4492"/>
    <w:rsid w:val="003C5942"/>
    <w:rsid w:val="003C5B03"/>
    <w:rsid w:val="003C6A63"/>
    <w:rsid w:val="003C7806"/>
    <w:rsid w:val="003D1101"/>
    <w:rsid w:val="003D1813"/>
    <w:rsid w:val="003D21E6"/>
    <w:rsid w:val="003D2D8C"/>
    <w:rsid w:val="003D3A30"/>
    <w:rsid w:val="003D7D09"/>
    <w:rsid w:val="003E599B"/>
    <w:rsid w:val="003E7ED3"/>
    <w:rsid w:val="003E7EEC"/>
    <w:rsid w:val="003F1737"/>
    <w:rsid w:val="003F55D9"/>
    <w:rsid w:val="003F5A47"/>
    <w:rsid w:val="003F6E33"/>
    <w:rsid w:val="0040199E"/>
    <w:rsid w:val="004028CA"/>
    <w:rsid w:val="00403DEF"/>
    <w:rsid w:val="004150E1"/>
    <w:rsid w:val="0041547E"/>
    <w:rsid w:val="004177D3"/>
    <w:rsid w:val="0042290B"/>
    <w:rsid w:val="00424A07"/>
    <w:rsid w:val="004274A2"/>
    <w:rsid w:val="00427D97"/>
    <w:rsid w:val="0043161A"/>
    <w:rsid w:val="0043256A"/>
    <w:rsid w:val="0043305B"/>
    <w:rsid w:val="004347DC"/>
    <w:rsid w:val="00435C50"/>
    <w:rsid w:val="00436D5A"/>
    <w:rsid w:val="004403FB"/>
    <w:rsid w:val="00441484"/>
    <w:rsid w:val="00443208"/>
    <w:rsid w:val="0044511E"/>
    <w:rsid w:val="0044623F"/>
    <w:rsid w:val="00446449"/>
    <w:rsid w:val="00446E57"/>
    <w:rsid w:val="004514DF"/>
    <w:rsid w:val="00451CA5"/>
    <w:rsid w:val="0045227E"/>
    <w:rsid w:val="004524FF"/>
    <w:rsid w:val="00452EF1"/>
    <w:rsid w:val="00455047"/>
    <w:rsid w:val="004558FC"/>
    <w:rsid w:val="0045630E"/>
    <w:rsid w:val="004575AA"/>
    <w:rsid w:val="004575B6"/>
    <w:rsid w:val="0046389A"/>
    <w:rsid w:val="0046506F"/>
    <w:rsid w:val="00472225"/>
    <w:rsid w:val="004736F9"/>
    <w:rsid w:val="004767BE"/>
    <w:rsid w:val="004776A3"/>
    <w:rsid w:val="00481C35"/>
    <w:rsid w:val="00482304"/>
    <w:rsid w:val="00492AB5"/>
    <w:rsid w:val="004937A7"/>
    <w:rsid w:val="0049481A"/>
    <w:rsid w:val="004978F0"/>
    <w:rsid w:val="004A0235"/>
    <w:rsid w:val="004A3011"/>
    <w:rsid w:val="004A3630"/>
    <w:rsid w:val="004A3B14"/>
    <w:rsid w:val="004A6235"/>
    <w:rsid w:val="004A7E5B"/>
    <w:rsid w:val="004B2569"/>
    <w:rsid w:val="004B4DB9"/>
    <w:rsid w:val="004B661E"/>
    <w:rsid w:val="004C0088"/>
    <w:rsid w:val="004C3CB1"/>
    <w:rsid w:val="004D1E9F"/>
    <w:rsid w:val="004D2F90"/>
    <w:rsid w:val="004E0EE0"/>
    <w:rsid w:val="004E196D"/>
    <w:rsid w:val="004E2353"/>
    <w:rsid w:val="004E41DC"/>
    <w:rsid w:val="004E4CE1"/>
    <w:rsid w:val="004E4FB1"/>
    <w:rsid w:val="004E5B6C"/>
    <w:rsid w:val="004E6711"/>
    <w:rsid w:val="004E731E"/>
    <w:rsid w:val="004E7F3B"/>
    <w:rsid w:val="004F1B7D"/>
    <w:rsid w:val="004F2E2D"/>
    <w:rsid w:val="004F3A14"/>
    <w:rsid w:val="004F4174"/>
    <w:rsid w:val="004F71D5"/>
    <w:rsid w:val="005011FC"/>
    <w:rsid w:val="00501470"/>
    <w:rsid w:val="005027B1"/>
    <w:rsid w:val="005050CF"/>
    <w:rsid w:val="00505BB9"/>
    <w:rsid w:val="00506806"/>
    <w:rsid w:val="005117DE"/>
    <w:rsid w:val="005140F9"/>
    <w:rsid w:val="005168A0"/>
    <w:rsid w:val="0052139F"/>
    <w:rsid w:val="00522B78"/>
    <w:rsid w:val="005238C8"/>
    <w:rsid w:val="005269C6"/>
    <w:rsid w:val="00527378"/>
    <w:rsid w:val="00530527"/>
    <w:rsid w:val="00530889"/>
    <w:rsid w:val="00530DB3"/>
    <w:rsid w:val="00531012"/>
    <w:rsid w:val="00531A29"/>
    <w:rsid w:val="00533125"/>
    <w:rsid w:val="005352A3"/>
    <w:rsid w:val="00537F88"/>
    <w:rsid w:val="0054116C"/>
    <w:rsid w:val="0054205C"/>
    <w:rsid w:val="00543455"/>
    <w:rsid w:val="00547776"/>
    <w:rsid w:val="00551B7F"/>
    <w:rsid w:val="0055595A"/>
    <w:rsid w:val="0055726D"/>
    <w:rsid w:val="00560EA2"/>
    <w:rsid w:val="00565CA9"/>
    <w:rsid w:val="00574562"/>
    <w:rsid w:val="0057468F"/>
    <w:rsid w:val="00577F18"/>
    <w:rsid w:val="005834DF"/>
    <w:rsid w:val="00591039"/>
    <w:rsid w:val="00591872"/>
    <w:rsid w:val="005924F1"/>
    <w:rsid w:val="005926B8"/>
    <w:rsid w:val="00593EBE"/>
    <w:rsid w:val="00594098"/>
    <w:rsid w:val="0059577F"/>
    <w:rsid w:val="005961F4"/>
    <w:rsid w:val="005A3719"/>
    <w:rsid w:val="005A42E6"/>
    <w:rsid w:val="005A4630"/>
    <w:rsid w:val="005A77D6"/>
    <w:rsid w:val="005B29A0"/>
    <w:rsid w:val="005B403E"/>
    <w:rsid w:val="005B4F5E"/>
    <w:rsid w:val="005B629B"/>
    <w:rsid w:val="005B6CFC"/>
    <w:rsid w:val="005C1BD2"/>
    <w:rsid w:val="005C2C0B"/>
    <w:rsid w:val="005C54CA"/>
    <w:rsid w:val="005C5785"/>
    <w:rsid w:val="005C5F0D"/>
    <w:rsid w:val="005D2299"/>
    <w:rsid w:val="005D7C76"/>
    <w:rsid w:val="005E0B64"/>
    <w:rsid w:val="005E6FB7"/>
    <w:rsid w:val="005F005A"/>
    <w:rsid w:val="005F1624"/>
    <w:rsid w:val="005F39A5"/>
    <w:rsid w:val="00605308"/>
    <w:rsid w:val="006056D4"/>
    <w:rsid w:val="00607597"/>
    <w:rsid w:val="00613E08"/>
    <w:rsid w:val="0061510D"/>
    <w:rsid w:val="0061564B"/>
    <w:rsid w:val="006169E6"/>
    <w:rsid w:val="006212C3"/>
    <w:rsid w:val="00621E24"/>
    <w:rsid w:val="006266F7"/>
    <w:rsid w:val="006318F4"/>
    <w:rsid w:val="00633735"/>
    <w:rsid w:val="006356C7"/>
    <w:rsid w:val="00635DC9"/>
    <w:rsid w:val="00641F94"/>
    <w:rsid w:val="006444C9"/>
    <w:rsid w:val="006476A1"/>
    <w:rsid w:val="00647BDB"/>
    <w:rsid w:val="00651FBD"/>
    <w:rsid w:val="0065270D"/>
    <w:rsid w:val="00653B6B"/>
    <w:rsid w:val="006540AC"/>
    <w:rsid w:val="00654AC2"/>
    <w:rsid w:val="00654C05"/>
    <w:rsid w:val="006570F8"/>
    <w:rsid w:val="00660744"/>
    <w:rsid w:val="0066085D"/>
    <w:rsid w:val="0066099D"/>
    <w:rsid w:val="0066214A"/>
    <w:rsid w:val="00662FFA"/>
    <w:rsid w:val="00664FB3"/>
    <w:rsid w:val="006671C0"/>
    <w:rsid w:val="0067077D"/>
    <w:rsid w:val="00671A94"/>
    <w:rsid w:val="00674DCC"/>
    <w:rsid w:val="0067643D"/>
    <w:rsid w:val="00684AEB"/>
    <w:rsid w:val="0068602A"/>
    <w:rsid w:val="0068764B"/>
    <w:rsid w:val="00687F95"/>
    <w:rsid w:val="0069329B"/>
    <w:rsid w:val="006963F9"/>
    <w:rsid w:val="006976A9"/>
    <w:rsid w:val="006A1C93"/>
    <w:rsid w:val="006A28D6"/>
    <w:rsid w:val="006A480B"/>
    <w:rsid w:val="006B3CA8"/>
    <w:rsid w:val="006B6C28"/>
    <w:rsid w:val="006B6CF6"/>
    <w:rsid w:val="006B7646"/>
    <w:rsid w:val="006C077C"/>
    <w:rsid w:val="006C11AB"/>
    <w:rsid w:val="006C2C35"/>
    <w:rsid w:val="006C5ED1"/>
    <w:rsid w:val="006C6265"/>
    <w:rsid w:val="006C778D"/>
    <w:rsid w:val="006D0022"/>
    <w:rsid w:val="006D14B1"/>
    <w:rsid w:val="006D50CA"/>
    <w:rsid w:val="006D7CBF"/>
    <w:rsid w:val="006E05E9"/>
    <w:rsid w:val="006E2289"/>
    <w:rsid w:val="006E4A76"/>
    <w:rsid w:val="006F5AA8"/>
    <w:rsid w:val="006F5E36"/>
    <w:rsid w:val="00702F45"/>
    <w:rsid w:val="00704CFC"/>
    <w:rsid w:val="00705D8F"/>
    <w:rsid w:val="00706589"/>
    <w:rsid w:val="00712D24"/>
    <w:rsid w:val="0071590B"/>
    <w:rsid w:val="00715E12"/>
    <w:rsid w:val="007212BC"/>
    <w:rsid w:val="0072228D"/>
    <w:rsid w:val="007223A5"/>
    <w:rsid w:val="007244D9"/>
    <w:rsid w:val="00727092"/>
    <w:rsid w:val="0073020B"/>
    <w:rsid w:val="0073053B"/>
    <w:rsid w:val="00731030"/>
    <w:rsid w:val="00732CDA"/>
    <w:rsid w:val="007344BC"/>
    <w:rsid w:val="007354A1"/>
    <w:rsid w:val="007370B3"/>
    <w:rsid w:val="00741DD9"/>
    <w:rsid w:val="00742628"/>
    <w:rsid w:val="00742A6A"/>
    <w:rsid w:val="00743ABC"/>
    <w:rsid w:val="00743D89"/>
    <w:rsid w:val="00747E85"/>
    <w:rsid w:val="00750267"/>
    <w:rsid w:val="00752538"/>
    <w:rsid w:val="00753550"/>
    <w:rsid w:val="0075553B"/>
    <w:rsid w:val="00755AD4"/>
    <w:rsid w:val="007611C8"/>
    <w:rsid w:val="00761B9C"/>
    <w:rsid w:val="0076538E"/>
    <w:rsid w:val="00770B3E"/>
    <w:rsid w:val="00771497"/>
    <w:rsid w:val="00773ABA"/>
    <w:rsid w:val="00774DE4"/>
    <w:rsid w:val="00775603"/>
    <w:rsid w:val="007760E3"/>
    <w:rsid w:val="007831A0"/>
    <w:rsid w:val="00784C13"/>
    <w:rsid w:val="00787D89"/>
    <w:rsid w:val="007904F9"/>
    <w:rsid w:val="00791131"/>
    <w:rsid w:val="007913D8"/>
    <w:rsid w:val="00791A73"/>
    <w:rsid w:val="007920EF"/>
    <w:rsid w:val="00793749"/>
    <w:rsid w:val="00794241"/>
    <w:rsid w:val="00795D25"/>
    <w:rsid w:val="00797681"/>
    <w:rsid w:val="007A6CA5"/>
    <w:rsid w:val="007B5EDF"/>
    <w:rsid w:val="007B748C"/>
    <w:rsid w:val="007B7836"/>
    <w:rsid w:val="007B78EF"/>
    <w:rsid w:val="007C0A37"/>
    <w:rsid w:val="007C113B"/>
    <w:rsid w:val="007C1582"/>
    <w:rsid w:val="007C2A31"/>
    <w:rsid w:val="007C4051"/>
    <w:rsid w:val="007C5BD5"/>
    <w:rsid w:val="007D2C29"/>
    <w:rsid w:val="007D53EB"/>
    <w:rsid w:val="007D7181"/>
    <w:rsid w:val="007E0389"/>
    <w:rsid w:val="007E16D9"/>
    <w:rsid w:val="007E16ED"/>
    <w:rsid w:val="007E464D"/>
    <w:rsid w:val="007E4B56"/>
    <w:rsid w:val="007E6537"/>
    <w:rsid w:val="007F32DA"/>
    <w:rsid w:val="007F53C4"/>
    <w:rsid w:val="007F6436"/>
    <w:rsid w:val="00800FA9"/>
    <w:rsid w:val="008021E3"/>
    <w:rsid w:val="00803E22"/>
    <w:rsid w:val="00805DCE"/>
    <w:rsid w:val="008129B5"/>
    <w:rsid w:val="008165B7"/>
    <w:rsid w:val="008202C7"/>
    <w:rsid w:val="00820B48"/>
    <w:rsid w:val="0082426C"/>
    <w:rsid w:val="00824FFC"/>
    <w:rsid w:val="0082513B"/>
    <w:rsid w:val="0083053B"/>
    <w:rsid w:val="00832F4A"/>
    <w:rsid w:val="00833042"/>
    <w:rsid w:val="00834DC2"/>
    <w:rsid w:val="00841017"/>
    <w:rsid w:val="008420D1"/>
    <w:rsid w:val="008421DC"/>
    <w:rsid w:val="00842C78"/>
    <w:rsid w:val="008440E4"/>
    <w:rsid w:val="00845866"/>
    <w:rsid w:val="0084730B"/>
    <w:rsid w:val="008473E7"/>
    <w:rsid w:val="0084748C"/>
    <w:rsid w:val="00850C44"/>
    <w:rsid w:val="00850DE6"/>
    <w:rsid w:val="00850F21"/>
    <w:rsid w:val="008526D3"/>
    <w:rsid w:val="00856898"/>
    <w:rsid w:val="00856AAE"/>
    <w:rsid w:val="00857411"/>
    <w:rsid w:val="008614AA"/>
    <w:rsid w:val="00861E15"/>
    <w:rsid w:val="00862D44"/>
    <w:rsid w:val="00865010"/>
    <w:rsid w:val="00872C87"/>
    <w:rsid w:val="00876031"/>
    <w:rsid w:val="00877868"/>
    <w:rsid w:val="00880A27"/>
    <w:rsid w:val="008830FE"/>
    <w:rsid w:val="00884512"/>
    <w:rsid w:val="00886A9B"/>
    <w:rsid w:val="008875B5"/>
    <w:rsid w:val="00891954"/>
    <w:rsid w:val="00891E3E"/>
    <w:rsid w:val="00893D53"/>
    <w:rsid w:val="00896C28"/>
    <w:rsid w:val="00897811"/>
    <w:rsid w:val="00897B0E"/>
    <w:rsid w:val="008A08EC"/>
    <w:rsid w:val="008A1423"/>
    <w:rsid w:val="008A274F"/>
    <w:rsid w:val="008A2A26"/>
    <w:rsid w:val="008A3866"/>
    <w:rsid w:val="008A4E0B"/>
    <w:rsid w:val="008A59F7"/>
    <w:rsid w:val="008B0C7D"/>
    <w:rsid w:val="008B0CEA"/>
    <w:rsid w:val="008B1210"/>
    <w:rsid w:val="008B2ACB"/>
    <w:rsid w:val="008B336F"/>
    <w:rsid w:val="008B3F5D"/>
    <w:rsid w:val="008B4284"/>
    <w:rsid w:val="008B61FE"/>
    <w:rsid w:val="008B76B9"/>
    <w:rsid w:val="008C03E1"/>
    <w:rsid w:val="008C14B9"/>
    <w:rsid w:val="008C26FC"/>
    <w:rsid w:val="008C4D63"/>
    <w:rsid w:val="008C6560"/>
    <w:rsid w:val="008C74CE"/>
    <w:rsid w:val="008C7DD0"/>
    <w:rsid w:val="008D06AC"/>
    <w:rsid w:val="008D4B3F"/>
    <w:rsid w:val="008D5555"/>
    <w:rsid w:val="008E0BFA"/>
    <w:rsid w:val="008E2665"/>
    <w:rsid w:val="008E2FB7"/>
    <w:rsid w:val="008E36CE"/>
    <w:rsid w:val="008E379E"/>
    <w:rsid w:val="008E467A"/>
    <w:rsid w:val="008E4D1B"/>
    <w:rsid w:val="008E626B"/>
    <w:rsid w:val="008E6753"/>
    <w:rsid w:val="008E6AAD"/>
    <w:rsid w:val="008E7023"/>
    <w:rsid w:val="008F0651"/>
    <w:rsid w:val="008F0819"/>
    <w:rsid w:val="008F1E31"/>
    <w:rsid w:val="008F372F"/>
    <w:rsid w:val="008F37F0"/>
    <w:rsid w:val="008F479C"/>
    <w:rsid w:val="008F799D"/>
    <w:rsid w:val="00900D25"/>
    <w:rsid w:val="00900E74"/>
    <w:rsid w:val="009011C7"/>
    <w:rsid w:val="00904FF6"/>
    <w:rsid w:val="0090511A"/>
    <w:rsid w:val="00905FEC"/>
    <w:rsid w:val="00907AEB"/>
    <w:rsid w:val="00910683"/>
    <w:rsid w:val="00911DE8"/>
    <w:rsid w:val="009120F9"/>
    <w:rsid w:val="009155B8"/>
    <w:rsid w:val="00915891"/>
    <w:rsid w:val="009158B6"/>
    <w:rsid w:val="00916C15"/>
    <w:rsid w:val="00917000"/>
    <w:rsid w:val="00921C04"/>
    <w:rsid w:val="009244B2"/>
    <w:rsid w:val="009267DB"/>
    <w:rsid w:val="0093025E"/>
    <w:rsid w:val="0093031D"/>
    <w:rsid w:val="00930976"/>
    <w:rsid w:val="009329BD"/>
    <w:rsid w:val="00932B3C"/>
    <w:rsid w:val="00932E1E"/>
    <w:rsid w:val="00933B7F"/>
    <w:rsid w:val="0093601A"/>
    <w:rsid w:val="00937B3C"/>
    <w:rsid w:val="009422A2"/>
    <w:rsid w:val="00943578"/>
    <w:rsid w:val="0094462F"/>
    <w:rsid w:val="009450BA"/>
    <w:rsid w:val="00946E00"/>
    <w:rsid w:val="00952138"/>
    <w:rsid w:val="009530DD"/>
    <w:rsid w:val="0095699C"/>
    <w:rsid w:val="00956FC2"/>
    <w:rsid w:val="00957564"/>
    <w:rsid w:val="00961470"/>
    <w:rsid w:val="009639A3"/>
    <w:rsid w:val="00964A58"/>
    <w:rsid w:val="00964E4B"/>
    <w:rsid w:val="00966A14"/>
    <w:rsid w:val="00981307"/>
    <w:rsid w:val="00983FA7"/>
    <w:rsid w:val="009844E5"/>
    <w:rsid w:val="00985917"/>
    <w:rsid w:val="00986BA7"/>
    <w:rsid w:val="009906D8"/>
    <w:rsid w:val="00991B71"/>
    <w:rsid w:val="00991FCD"/>
    <w:rsid w:val="00994221"/>
    <w:rsid w:val="009A0530"/>
    <w:rsid w:val="009A0B6A"/>
    <w:rsid w:val="009A0B80"/>
    <w:rsid w:val="009B2284"/>
    <w:rsid w:val="009B2438"/>
    <w:rsid w:val="009B3903"/>
    <w:rsid w:val="009B3CC2"/>
    <w:rsid w:val="009B405E"/>
    <w:rsid w:val="009B7B31"/>
    <w:rsid w:val="009C14B2"/>
    <w:rsid w:val="009C4962"/>
    <w:rsid w:val="009C5240"/>
    <w:rsid w:val="009D1278"/>
    <w:rsid w:val="009D1A8B"/>
    <w:rsid w:val="009D20D1"/>
    <w:rsid w:val="009D44F5"/>
    <w:rsid w:val="009D4EED"/>
    <w:rsid w:val="009D59F0"/>
    <w:rsid w:val="009E087D"/>
    <w:rsid w:val="009E48CD"/>
    <w:rsid w:val="009F1644"/>
    <w:rsid w:val="009F1FEE"/>
    <w:rsid w:val="009F409D"/>
    <w:rsid w:val="009F50C2"/>
    <w:rsid w:val="009F55BD"/>
    <w:rsid w:val="009F6653"/>
    <w:rsid w:val="009F7401"/>
    <w:rsid w:val="00A0320E"/>
    <w:rsid w:val="00A04D8F"/>
    <w:rsid w:val="00A05E7D"/>
    <w:rsid w:val="00A06934"/>
    <w:rsid w:val="00A0749B"/>
    <w:rsid w:val="00A075AC"/>
    <w:rsid w:val="00A07F80"/>
    <w:rsid w:val="00A12269"/>
    <w:rsid w:val="00A131B0"/>
    <w:rsid w:val="00A143DB"/>
    <w:rsid w:val="00A147D1"/>
    <w:rsid w:val="00A16F91"/>
    <w:rsid w:val="00A1742D"/>
    <w:rsid w:val="00A17EA9"/>
    <w:rsid w:val="00A20E8C"/>
    <w:rsid w:val="00A22EBB"/>
    <w:rsid w:val="00A22FA5"/>
    <w:rsid w:val="00A30856"/>
    <w:rsid w:val="00A33426"/>
    <w:rsid w:val="00A348D9"/>
    <w:rsid w:val="00A36745"/>
    <w:rsid w:val="00A37397"/>
    <w:rsid w:val="00A37E63"/>
    <w:rsid w:val="00A4122D"/>
    <w:rsid w:val="00A43132"/>
    <w:rsid w:val="00A449E8"/>
    <w:rsid w:val="00A47DEB"/>
    <w:rsid w:val="00A570C8"/>
    <w:rsid w:val="00A57AD8"/>
    <w:rsid w:val="00A61F4E"/>
    <w:rsid w:val="00A64781"/>
    <w:rsid w:val="00A660AA"/>
    <w:rsid w:val="00A67D8A"/>
    <w:rsid w:val="00A73B98"/>
    <w:rsid w:val="00A77469"/>
    <w:rsid w:val="00A77704"/>
    <w:rsid w:val="00A813EF"/>
    <w:rsid w:val="00A82AF3"/>
    <w:rsid w:val="00A839D2"/>
    <w:rsid w:val="00A84626"/>
    <w:rsid w:val="00A855BA"/>
    <w:rsid w:val="00A86A9F"/>
    <w:rsid w:val="00A92707"/>
    <w:rsid w:val="00A94DB0"/>
    <w:rsid w:val="00A972C2"/>
    <w:rsid w:val="00A97E1F"/>
    <w:rsid w:val="00AA27D5"/>
    <w:rsid w:val="00AA29AB"/>
    <w:rsid w:val="00AA68C5"/>
    <w:rsid w:val="00AB51AC"/>
    <w:rsid w:val="00AB6608"/>
    <w:rsid w:val="00AB6E57"/>
    <w:rsid w:val="00AC708D"/>
    <w:rsid w:val="00AD200A"/>
    <w:rsid w:val="00AD2358"/>
    <w:rsid w:val="00AD6C80"/>
    <w:rsid w:val="00AD7917"/>
    <w:rsid w:val="00AE2216"/>
    <w:rsid w:val="00AE22B6"/>
    <w:rsid w:val="00AE4E49"/>
    <w:rsid w:val="00AE5FBE"/>
    <w:rsid w:val="00AE6460"/>
    <w:rsid w:val="00AE67CA"/>
    <w:rsid w:val="00AE691F"/>
    <w:rsid w:val="00AF07F8"/>
    <w:rsid w:val="00AF2FA0"/>
    <w:rsid w:val="00AF36E3"/>
    <w:rsid w:val="00AF4BF8"/>
    <w:rsid w:val="00AF761B"/>
    <w:rsid w:val="00AF7A06"/>
    <w:rsid w:val="00B011BF"/>
    <w:rsid w:val="00B02400"/>
    <w:rsid w:val="00B03E90"/>
    <w:rsid w:val="00B058F6"/>
    <w:rsid w:val="00B05AF2"/>
    <w:rsid w:val="00B065B4"/>
    <w:rsid w:val="00B06DEC"/>
    <w:rsid w:val="00B10A4A"/>
    <w:rsid w:val="00B1267D"/>
    <w:rsid w:val="00B13143"/>
    <w:rsid w:val="00B13D17"/>
    <w:rsid w:val="00B142D7"/>
    <w:rsid w:val="00B150B7"/>
    <w:rsid w:val="00B16F50"/>
    <w:rsid w:val="00B2052A"/>
    <w:rsid w:val="00B214BE"/>
    <w:rsid w:val="00B21639"/>
    <w:rsid w:val="00B23E08"/>
    <w:rsid w:val="00B2745F"/>
    <w:rsid w:val="00B32141"/>
    <w:rsid w:val="00B46C46"/>
    <w:rsid w:val="00B50DC9"/>
    <w:rsid w:val="00B50F75"/>
    <w:rsid w:val="00B51FC5"/>
    <w:rsid w:val="00B54D0F"/>
    <w:rsid w:val="00B5702E"/>
    <w:rsid w:val="00B603F9"/>
    <w:rsid w:val="00B6059F"/>
    <w:rsid w:val="00B61AC9"/>
    <w:rsid w:val="00B64BF4"/>
    <w:rsid w:val="00B64C1C"/>
    <w:rsid w:val="00B70011"/>
    <w:rsid w:val="00B706E9"/>
    <w:rsid w:val="00B7116A"/>
    <w:rsid w:val="00B72CD5"/>
    <w:rsid w:val="00B72D13"/>
    <w:rsid w:val="00B7421E"/>
    <w:rsid w:val="00B761A9"/>
    <w:rsid w:val="00B76276"/>
    <w:rsid w:val="00B814ED"/>
    <w:rsid w:val="00B8368E"/>
    <w:rsid w:val="00B84828"/>
    <w:rsid w:val="00B84F93"/>
    <w:rsid w:val="00B8684B"/>
    <w:rsid w:val="00B87163"/>
    <w:rsid w:val="00B93640"/>
    <w:rsid w:val="00B93901"/>
    <w:rsid w:val="00BA23EB"/>
    <w:rsid w:val="00BA2489"/>
    <w:rsid w:val="00BA25DD"/>
    <w:rsid w:val="00BA4FE1"/>
    <w:rsid w:val="00BA7887"/>
    <w:rsid w:val="00BB2BB8"/>
    <w:rsid w:val="00BB2D5E"/>
    <w:rsid w:val="00BB30F6"/>
    <w:rsid w:val="00BB7B3C"/>
    <w:rsid w:val="00BB7D9D"/>
    <w:rsid w:val="00BC2645"/>
    <w:rsid w:val="00BC277A"/>
    <w:rsid w:val="00BC6AD6"/>
    <w:rsid w:val="00BD2D50"/>
    <w:rsid w:val="00BE0E44"/>
    <w:rsid w:val="00BE0FAB"/>
    <w:rsid w:val="00BE261D"/>
    <w:rsid w:val="00BE2774"/>
    <w:rsid w:val="00BE5678"/>
    <w:rsid w:val="00BE6DDA"/>
    <w:rsid w:val="00BF19A7"/>
    <w:rsid w:val="00BF2448"/>
    <w:rsid w:val="00BF28D4"/>
    <w:rsid w:val="00BF2BFA"/>
    <w:rsid w:val="00BF337F"/>
    <w:rsid w:val="00BF680E"/>
    <w:rsid w:val="00BF6D0A"/>
    <w:rsid w:val="00BF705B"/>
    <w:rsid w:val="00C00B48"/>
    <w:rsid w:val="00C02F9B"/>
    <w:rsid w:val="00C032E4"/>
    <w:rsid w:val="00C04E5C"/>
    <w:rsid w:val="00C05590"/>
    <w:rsid w:val="00C14612"/>
    <w:rsid w:val="00C16D58"/>
    <w:rsid w:val="00C17C61"/>
    <w:rsid w:val="00C214F3"/>
    <w:rsid w:val="00C21A6E"/>
    <w:rsid w:val="00C21E5A"/>
    <w:rsid w:val="00C225BF"/>
    <w:rsid w:val="00C23CD4"/>
    <w:rsid w:val="00C24694"/>
    <w:rsid w:val="00C27FE5"/>
    <w:rsid w:val="00C334E0"/>
    <w:rsid w:val="00C3445B"/>
    <w:rsid w:val="00C3468C"/>
    <w:rsid w:val="00C346FA"/>
    <w:rsid w:val="00C3566C"/>
    <w:rsid w:val="00C36625"/>
    <w:rsid w:val="00C45278"/>
    <w:rsid w:val="00C45858"/>
    <w:rsid w:val="00C46381"/>
    <w:rsid w:val="00C51C57"/>
    <w:rsid w:val="00C52506"/>
    <w:rsid w:val="00C52A25"/>
    <w:rsid w:val="00C52DAB"/>
    <w:rsid w:val="00C52E8C"/>
    <w:rsid w:val="00C54E5C"/>
    <w:rsid w:val="00C54FAB"/>
    <w:rsid w:val="00C55CB3"/>
    <w:rsid w:val="00C561A7"/>
    <w:rsid w:val="00C57AF6"/>
    <w:rsid w:val="00C60C2F"/>
    <w:rsid w:val="00C629B5"/>
    <w:rsid w:val="00C62A9C"/>
    <w:rsid w:val="00C658AE"/>
    <w:rsid w:val="00C70F99"/>
    <w:rsid w:val="00C7654F"/>
    <w:rsid w:val="00C8415B"/>
    <w:rsid w:val="00C86A85"/>
    <w:rsid w:val="00C87682"/>
    <w:rsid w:val="00C917B2"/>
    <w:rsid w:val="00C9214A"/>
    <w:rsid w:val="00C923E0"/>
    <w:rsid w:val="00C93349"/>
    <w:rsid w:val="00C93709"/>
    <w:rsid w:val="00CA047E"/>
    <w:rsid w:val="00CA338E"/>
    <w:rsid w:val="00CA40B3"/>
    <w:rsid w:val="00CA47EA"/>
    <w:rsid w:val="00CA48C5"/>
    <w:rsid w:val="00CA4EF3"/>
    <w:rsid w:val="00CA73F9"/>
    <w:rsid w:val="00CB29F8"/>
    <w:rsid w:val="00CB2F9F"/>
    <w:rsid w:val="00CB4103"/>
    <w:rsid w:val="00CB49AE"/>
    <w:rsid w:val="00CC16A7"/>
    <w:rsid w:val="00CC2ED9"/>
    <w:rsid w:val="00CC2F1B"/>
    <w:rsid w:val="00CD0258"/>
    <w:rsid w:val="00CD0FC5"/>
    <w:rsid w:val="00CD554A"/>
    <w:rsid w:val="00CE037A"/>
    <w:rsid w:val="00CF5A52"/>
    <w:rsid w:val="00CF6C90"/>
    <w:rsid w:val="00D02EA3"/>
    <w:rsid w:val="00D04EAD"/>
    <w:rsid w:val="00D05BB0"/>
    <w:rsid w:val="00D06698"/>
    <w:rsid w:val="00D06C71"/>
    <w:rsid w:val="00D07932"/>
    <w:rsid w:val="00D07E9A"/>
    <w:rsid w:val="00D1274E"/>
    <w:rsid w:val="00D14875"/>
    <w:rsid w:val="00D1665D"/>
    <w:rsid w:val="00D20A32"/>
    <w:rsid w:val="00D24000"/>
    <w:rsid w:val="00D3076F"/>
    <w:rsid w:val="00D30806"/>
    <w:rsid w:val="00D31DA0"/>
    <w:rsid w:val="00D32A56"/>
    <w:rsid w:val="00D34892"/>
    <w:rsid w:val="00D3668A"/>
    <w:rsid w:val="00D36742"/>
    <w:rsid w:val="00D41AF4"/>
    <w:rsid w:val="00D43127"/>
    <w:rsid w:val="00D461BB"/>
    <w:rsid w:val="00D51FA6"/>
    <w:rsid w:val="00D52713"/>
    <w:rsid w:val="00D52AAE"/>
    <w:rsid w:val="00D52ECE"/>
    <w:rsid w:val="00D550CC"/>
    <w:rsid w:val="00D557A8"/>
    <w:rsid w:val="00D6018C"/>
    <w:rsid w:val="00D605AE"/>
    <w:rsid w:val="00D612B8"/>
    <w:rsid w:val="00D63C28"/>
    <w:rsid w:val="00D67456"/>
    <w:rsid w:val="00D67F2D"/>
    <w:rsid w:val="00D70577"/>
    <w:rsid w:val="00D70D30"/>
    <w:rsid w:val="00D71109"/>
    <w:rsid w:val="00D7169A"/>
    <w:rsid w:val="00D732BC"/>
    <w:rsid w:val="00D75C71"/>
    <w:rsid w:val="00D75EB1"/>
    <w:rsid w:val="00D80839"/>
    <w:rsid w:val="00D817FA"/>
    <w:rsid w:val="00D82DDE"/>
    <w:rsid w:val="00D836E2"/>
    <w:rsid w:val="00D854F9"/>
    <w:rsid w:val="00D85A11"/>
    <w:rsid w:val="00D86654"/>
    <w:rsid w:val="00D87BFA"/>
    <w:rsid w:val="00D9002F"/>
    <w:rsid w:val="00D921D9"/>
    <w:rsid w:val="00D943FD"/>
    <w:rsid w:val="00D96321"/>
    <w:rsid w:val="00DA06D3"/>
    <w:rsid w:val="00DA2797"/>
    <w:rsid w:val="00DA315D"/>
    <w:rsid w:val="00DA341C"/>
    <w:rsid w:val="00DA3ECD"/>
    <w:rsid w:val="00DA4460"/>
    <w:rsid w:val="00DA744F"/>
    <w:rsid w:val="00DA7D7D"/>
    <w:rsid w:val="00DB0820"/>
    <w:rsid w:val="00DB287D"/>
    <w:rsid w:val="00DB2981"/>
    <w:rsid w:val="00DB31EB"/>
    <w:rsid w:val="00DB4264"/>
    <w:rsid w:val="00DB4B40"/>
    <w:rsid w:val="00DB5E6C"/>
    <w:rsid w:val="00DB7ED9"/>
    <w:rsid w:val="00DC009A"/>
    <w:rsid w:val="00DC391C"/>
    <w:rsid w:val="00DC3AD0"/>
    <w:rsid w:val="00DC4085"/>
    <w:rsid w:val="00DC4D01"/>
    <w:rsid w:val="00DD0182"/>
    <w:rsid w:val="00DD1D19"/>
    <w:rsid w:val="00DE213B"/>
    <w:rsid w:val="00DE42AB"/>
    <w:rsid w:val="00DE453B"/>
    <w:rsid w:val="00DF37FA"/>
    <w:rsid w:val="00DF3F95"/>
    <w:rsid w:val="00E02416"/>
    <w:rsid w:val="00E05EA8"/>
    <w:rsid w:val="00E10F53"/>
    <w:rsid w:val="00E10FFE"/>
    <w:rsid w:val="00E232A9"/>
    <w:rsid w:val="00E238C4"/>
    <w:rsid w:val="00E31BBC"/>
    <w:rsid w:val="00E324A7"/>
    <w:rsid w:val="00E32AC3"/>
    <w:rsid w:val="00E341C7"/>
    <w:rsid w:val="00E35795"/>
    <w:rsid w:val="00E358AE"/>
    <w:rsid w:val="00E362EA"/>
    <w:rsid w:val="00E370B5"/>
    <w:rsid w:val="00E37B0C"/>
    <w:rsid w:val="00E40CDE"/>
    <w:rsid w:val="00E41B00"/>
    <w:rsid w:val="00E42397"/>
    <w:rsid w:val="00E463FF"/>
    <w:rsid w:val="00E53D22"/>
    <w:rsid w:val="00E60580"/>
    <w:rsid w:val="00E62DEB"/>
    <w:rsid w:val="00E66927"/>
    <w:rsid w:val="00E67A7C"/>
    <w:rsid w:val="00E67B98"/>
    <w:rsid w:val="00E7031A"/>
    <w:rsid w:val="00E720BE"/>
    <w:rsid w:val="00E73469"/>
    <w:rsid w:val="00E74BFA"/>
    <w:rsid w:val="00E76106"/>
    <w:rsid w:val="00E8181F"/>
    <w:rsid w:val="00E87D14"/>
    <w:rsid w:val="00E90179"/>
    <w:rsid w:val="00E91152"/>
    <w:rsid w:val="00E91EAC"/>
    <w:rsid w:val="00E9445A"/>
    <w:rsid w:val="00E9469A"/>
    <w:rsid w:val="00E95A4D"/>
    <w:rsid w:val="00E966A6"/>
    <w:rsid w:val="00E96E15"/>
    <w:rsid w:val="00EB0EA7"/>
    <w:rsid w:val="00EB48AF"/>
    <w:rsid w:val="00EB6B16"/>
    <w:rsid w:val="00EC0005"/>
    <w:rsid w:val="00EC0CFC"/>
    <w:rsid w:val="00EC7214"/>
    <w:rsid w:val="00EC770B"/>
    <w:rsid w:val="00ED2A19"/>
    <w:rsid w:val="00ED62BC"/>
    <w:rsid w:val="00ED71B9"/>
    <w:rsid w:val="00ED7FC8"/>
    <w:rsid w:val="00EE17C7"/>
    <w:rsid w:val="00EE5936"/>
    <w:rsid w:val="00EE7796"/>
    <w:rsid w:val="00EF0F26"/>
    <w:rsid w:val="00EF5EE4"/>
    <w:rsid w:val="00EF5F63"/>
    <w:rsid w:val="00F00C75"/>
    <w:rsid w:val="00F0110A"/>
    <w:rsid w:val="00F039C9"/>
    <w:rsid w:val="00F05F98"/>
    <w:rsid w:val="00F11363"/>
    <w:rsid w:val="00F1366E"/>
    <w:rsid w:val="00F139A3"/>
    <w:rsid w:val="00F13CFC"/>
    <w:rsid w:val="00F15207"/>
    <w:rsid w:val="00F15F06"/>
    <w:rsid w:val="00F1662D"/>
    <w:rsid w:val="00F20B31"/>
    <w:rsid w:val="00F22BF2"/>
    <w:rsid w:val="00F240A8"/>
    <w:rsid w:val="00F31604"/>
    <w:rsid w:val="00F35BA8"/>
    <w:rsid w:val="00F37B2B"/>
    <w:rsid w:val="00F37F3A"/>
    <w:rsid w:val="00F425E9"/>
    <w:rsid w:val="00F431AD"/>
    <w:rsid w:val="00F43774"/>
    <w:rsid w:val="00F4526B"/>
    <w:rsid w:val="00F47884"/>
    <w:rsid w:val="00F527BC"/>
    <w:rsid w:val="00F530BA"/>
    <w:rsid w:val="00F5484E"/>
    <w:rsid w:val="00F57D1E"/>
    <w:rsid w:val="00F60BD2"/>
    <w:rsid w:val="00F60F49"/>
    <w:rsid w:val="00F64E7A"/>
    <w:rsid w:val="00F65D4C"/>
    <w:rsid w:val="00F65F64"/>
    <w:rsid w:val="00F721C8"/>
    <w:rsid w:val="00F7400F"/>
    <w:rsid w:val="00F746D8"/>
    <w:rsid w:val="00F74B96"/>
    <w:rsid w:val="00F80364"/>
    <w:rsid w:val="00F839BE"/>
    <w:rsid w:val="00F875C8"/>
    <w:rsid w:val="00F9140D"/>
    <w:rsid w:val="00F91DB2"/>
    <w:rsid w:val="00F92D49"/>
    <w:rsid w:val="00F941C0"/>
    <w:rsid w:val="00F961FB"/>
    <w:rsid w:val="00FA0058"/>
    <w:rsid w:val="00FA16E9"/>
    <w:rsid w:val="00FA33D3"/>
    <w:rsid w:val="00FA408B"/>
    <w:rsid w:val="00FA4FEB"/>
    <w:rsid w:val="00FB01FB"/>
    <w:rsid w:val="00FB0563"/>
    <w:rsid w:val="00FB0737"/>
    <w:rsid w:val="00FB1D57"/>
    <w:rsid w:val="00FB471A"/>
    <w:rsid w:val="00FC7DA8"/>
    <w:rsid w:val="00FD4B1A"/>
    <w:rsid w:val="00FD59A7"/>
    <w:rsid w:val="00FD59B0"/>
    <w:rsid w:val="00FD5E57"/>
    <w:rsid w:val="00FE2CB0"/>
    <w:rsid w:val="00FE3D33"/>
    <w:rsid w:val="00FE5885"/>
    <w:rsid w:val="00FE7DB0"/>
    <w:rsid w:val="00FF299D"/>
    <w:rsid w:val="00FF3403"/>
    <w:rsid w:val="00FF4500"/>
    <w:rsid w:val="00FF70F1"/>
    <w:rsid w:val="00FF7775"/>
    <w:rsid w:val="00FF77B1"/>
    <w:rsid w:val="03B3E224"/>
    <w:rsid w:val="03E488A7"/>
    <w:rsid w:val="03F91D7D"/>
    <w:rsid w:val="044A86B6"/>
    <w:rsid w:val="04940009"/>
    <w:rsid w:val="050D7E1D"/>
    <w:rsid w:val="066BA277"/>
    <w:rsid w:val="06A94E7E"/>
    <w:rsid w:val="07530D45"/>
    <w:rsid w:val="07C6AA5C"/>
    <w:rsid w:val="07D00F09"/>
    <w:rsid w:val="08F8DF05"/>
    <w:rsid w:val="09E0EF40"/>
    <w:rsid w:val="0B0387B6"/>
    <w:rsid w:val="0C9F9580"/>
    <w:rsid w:val="0DC5E171"/>
    <w:rsid w:val="0E071B2A"/>
    <w:rsid w:val="0F61AA69"/>
    <w:rsid w:val="0FBA8051"/>
    <w:rsid w:val="106FD946"/>
    <w:rsid w:val="114BABA1"/>
    <w:rsid w:val="1159A0DD"/>
    <w:rsid w:val="11FE00A7"/>
    <w:rsid w:val="122F6EEA"/>
    <w:rsid w:val="12C50824"/>
    <w:rsid w:val="13056C4D"/>
    <w:rsid w:val="13E2FD19"/>
    <w:rsid w:val="15D0D8A9"/>
    <w:rsid w:val="16F72663"/>
    <w:rsid w:val="17EFC431"/>
    <w:rsid w:val="1925127F"/>
    <w:rsid w:val="193449A8"/>
    <w:rsid w:val="19B41526"/>
    <w:rsid w:val="19EB824B"/>
    <w:rsid w:val="1A5875B5"/>
    <w:rsid w:val="1AD1ADA0"/>
    <w:rsid w:val="1AF5991B"/>
    <w:rsid w:val="1B8E3C90"/>
    <w:rsid w:val="1C6D7E01"/>
    <w:rsid w:val="1D70614B"/>
    <w:rsid w:val="1E50CCE2"/>
    <w:rsid w:val="1E5B774D"/>
    <w:rsid w:val="1E90BE23"/>
    <w:rsid w:val="1EC33AE0"/>
    <w:rsid w:val="1F8719A5"/>
    <w:rsid w:val="1FF747AE"/>
    <w:rsid w:val="20C350F0"/>
    <w:rsid w:val="21BDAC5E"/>
    <w:rsid w:val="21C78AA3"/>
    <w:rsid w:val="22BEE044"/>
    <w:rsid w:val="232F0E72"/>
    <w:rsid w:val="24CAB8D1"/>
    <w:rsid w:val="2744E492"/>
    <w:rsid w:val="2763051D"/>
    <w:rsid w:val="27E6F3B1"/>
    <w:rsid w:val="28D30687"/>
    <w:rsid w:val="2A50348A"/>
    <w:rsid w:val="2C37BA70"/>
    <w:rsid w:val="2CEA57D0"/>
    <w:rsid w:val="2D2748D4"/>
    <w:rsid w:val="2D5CA8CA"/>
    <w:rsid w:val="2D619A0F"/>
    <w:rsid w:val="2ED58918"/>
    <w:rsid w:val="2F4B6386"/>
    <w:rsid w:val="2FBE7142"/>
    <w:rsid w:val="30C4B2A6"/>
    <w:rsid w:val="324AD5E1"/>
    <w:rsid w:val="32830448"/>
    <w:rsid w:val="3309AD16"/>
    <w:rsid w:val="337762CD"/>
    <w:rsid w:val="338D0FE5"/>
    <w:rsid w:val="34B7B080"/>
    <w:rsid w:val="36B65499"/>
    <w:rsid w:val="371C6A49"/>
    <w:rsid w:val="3775C3F7"/>
    <w:rsid w:val="3817D355"/>
    <w:rsid w:val="3AC25729"/>
    <w:rsid w:val="3C156E84"/>
    <w:rsid w:val="3D903E43"/>
    <w:rsid w:val="3DC54754"/>
    <w:rsid w:val="40C7DF05"/>
    <w:rsid w:val="40CB07F2"/>
    <w:rsid w:val="43EB8F35"/>
    <w:rsid w:val="43EF54F0"/>
    <w:rsid w:val="443518B0"/>
    <w:rsid w:val="44BE3C45"/>
    <w:rsid w:val="44EA4556"/>
    <w:rsid w:val="45475CC9"/>
    <w:rsid w:val="4585CBFF"/>
    <w:rsid w:val="461499AC"/>
    <w:rsid w:val="46C16225"/>
    <w:rsid w:val="470F3115"/>
    <w:rsid w:val="476CB972"/>
    <w:rsid w:val="48EDD5DB"/>
    <w:rsid w:val="4A5598EE"/>
    <w:rsid w:val="4A86126B"/>
    <w:rsid w:val="4B73A7A2"/>
    <w:rsid w:val="4C6AC6A2"/>
    <w:rsid w:val="4C9B5178"/>
    <w:rsid w:val="4D79491E"/>
    <w:rsid w:val="4DF2F6C6"/>
    <w:rsid w:val="4EE28C57"/>
    <w:rsid w:val="4F23F22B"/>
    <w:rsid w:val="4F38668D"/>
    <w:rsid w:val="4F806AC7"/>
    <w:rsid w:val="511C3B28"/>
    <w:rsid w:val="5186902E"/>
    <w:rsid w:val="53A32F0C"/>
    <w:rsid w:val="552488DE"/>
    <w:rsid w:val="558792A3"/>
    <w:rsid w:val="5655747D"/>
    <w:rsid w:val="592E9947"/>
    <w:rsid w:val="59436B86"/>
    <w:rsid w:val="5B5DB91D"/>
    <w:rsid w:val="5DFA0C46"/>
    <w:rsid w:val="5E537C4B"/>
    <w:rsid w:val="5ED4869F"/>
    <w:rsid w:val="5F2B3D49"/>
    <w:rsid w:val="6098C9D4"/>
    <w:rsid w:val="61657A17"/>
    <w:rsid w:val="6175C658"/>
    <w:rsid w:val="61B93D06"/>
    <w:rsid w:val="6249C509"/>
    <w:rsid w:val="6281E510"/>
    <w:rsid w:val="640D277C"/>
    <w:rsid w:val="66000B3B"/>
    <w:rsid w:val="668909F5"/>
    <w:rsid w:val="66C927F3"/>
    <w:rsid w:val="6702EE8D"/>
    <w:rsid w:val="6732F21E"/>
    <w:rsid w:val="6824DA56"/>
    <w:rsid w:val="68CC89E0"/>
    <w:rsid w:val="69ACBA25"/>
    <w:rsid w:val="69C0AAB7"/>
    <w:rsid w:val="6A79A2A8"/>
    <w:rsid w:val="6B79EF3D"/>
    <w:rsid w:val="6D21853D"/>
    <w:rsid w:val="6F6A5DE3"/>
    <w:rsid w:val="6FFBA7AA"/>
    <w:rsid w:val="7033BF34"/>
    <w:rsid w:val="73539C6B"/>
    <w:rsid w:val="73961F11"/>
    <w:rsid w:val="73F8222D"/>
    <w:rsid w:val="74D07FE2"/>
    <w:rsid w:val="75262FD5"/>
    <w:rsid w:val="75E15B02"/>
    <w:rsid w:val="7601A65C"/>
    <w:rsid w:val="76C20036"/>
    <w:rsid w:val="78778517"/>
    <w:rsid w:val="7972EE23"/>
    <w:rsid w:val="79D0D15B"/>
    <w:rsid w:val="79E580D1"/>
    <w:rsid w:val="7A05031C"/>
    <w:rsid w:val="7ABD474B"/>
    <w:rsid w:val="7B2DBAB4"/>
    <w:rsid w:val="7B957159"/>
    <w:rsid w:val="7F9EC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9C1D6"/>
  <w15:chartTrackingRefBased/>
  <w15:docId w15:val="{F0A5F563-98E6-4EB1-B590-F1C71065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264"/>
    <w:pPr>
      <w:spacing w:after="0" w:line="240" w:lineRule="auto"/>
    </w:pPr>
    <w:rPr>
      <w:rFonts w:ascii="Arial" w:eastAsia="Calibri" w:hAnsi="Arial" w:cs="Arial"/>
      <w:color w:val="262626"/>
      <w:szCs w:val="20"/>
    </w:rPr>
  </w:style>
  <w:style w:type="paragraph" w:styleId="Heading1">
    <w:name w:val="heading 1"/>
    <w:basedOn w:val="Normal"/>
    <w:next w:val="Normal"/>
    <w:link w:val="Heading1Char"/>
    <w:uiPriority w:val="9"/>
    <w:qFormat/>
    <w:rsid w:val="000F7C7C"/>
    <w:pPr>
      <w:shd w:val="clear" w:color="auto" w:fill="4472C4" w:themeFill="accent1"/>
      <w:outlineLvl w:val="0"/>
    </w:pPr>
    <w:rPr>
      <w:b/>
      <w:bCs/>
      <w:color w:val="FFFFFF" w:themeColor="background1"/>
      <w:sz w:val="28"/>
      <w:szCs w:val="28"/>
    </w:rPr>
  </w:style>
  <w:style w:type="paragraph" w:styleId="Heading2">
    <w:name w:val="heading 2"/>
    <w:basedOn w:val="Normal"/>
    <w:next w:val="Normal"/>
    <w:link w:val="Heading2Char"/>
    <w:uiPriority w:val="9"/>
    <w:unhideWhenUsed/>
    <w:qFormat/>
    <w:rsid w:val="00910683"/>
    <w:pPr>
      <w:outlineLvl w:val="1"/>
    </w:pPr>
    <w:rPr>
      <w:rFonts w:cs="Calibri Light"/>
      <w:b/>
      <w:noProof/>
      <w:color w:val="00B0F0"/>
      <w:spacing w:val="80"/>
      <w:szCs w:val="32"/>
    </w:rPr>
  </w:style>
  <w:style w:type="paragraph" w:styleId="Heading3">
    <w:name w:val="heading 3"/>
    <w:basedOn w:val="Heading2"/>
    <w:next w:val="Normal"/>
    <w:link w:val="Heading3Char"/>
    <w:uiPriority w:val="9"/>
    <w:unhideWhenUsed/>
    <w:qFormat/>
    <w:rsid w:val="00DB4264"/>
    <w:pPr>
      <w:numPr>
        <w:ilvl w:val="2"/>
      </w:numPr>
      <w:outlineLvl w:val="2"/>
    </w:pPr>
    <w:rPr>
      <w:color w:val="FFFFFF" w:themeColor="background1"/>
      <w:spacing w:val="48"/>
      <w:szCs w:val="28"/>
    </w:rPr>
  </w:style>
  <w:style w:type="paragraph" w:styleId="Heading4">
    <w:name w:val="heading 4"/>
    <w:aliases w:val="Snapshot number"/>
    <w:basedOn w:val="Normal"/>
    <w:next w:val="Normal"/>
    <w:link w:val="Heading4Char"/>
    <w:uiPriority w:val="9"/>
    <w:unhideWhenUsed/>
    <w:qFormat/>
    <w:rsid w:val="002014BE"/>
    <w:pPr>
      <w:numPr>
        <w:ilvl w:val="3"/>
        <w:numId w:val="3"/>
      </w:numPr>
      <w:outlineLvl w:val="3"/>
    </w:pPr>
    <w:rPr>
      <w:color w:val="002060"/>
      <w:sz w:val="72"/>
      <w:szCs w:val="72"/>
    </w:rPr>
  </w:style>
  <w:style w:type="paragraph" w:styleId="Heading5">
    <w:name w:val="heading 5"/>
    <w:basedOn w:val="Heading3"/>
    <w:next w:val="Normal"/>
    <w:link w:val="Heading5Char"/>
    <w:uiPriority w:val="9"/>
    <w:unhideWhenUsed/>
    <w:qFormat/>
    <w:rsid w:val="00157BDA"/>
    <w:pPr>
      <w:numPr>
        <w:ilvl w:val="4"/>
      </w:numPr>
      <w:outlineLvl w:val="4"/>
    </w:pPr>
  </w:style>
  <w:style w:type="paragraph" w:styleId="Heading6">
    <w:name w:val="heading 6"/>
    <w:aliases w:val="Coverage line"/>
    <w:basedOn w:val="Normal"/>
    <w:next w:val="Normal"/>
    <w:link w:val="Heading6Char"/>
    <w:uiPriority w:val="9"/>
    <w:unhideWhenUsed/>
    <w:qFormat/>
    <w:rsid w:val="008E6753"/>
    <w:pPr>
      <w:numPr>
        <w:ilvl w:val="5"/>
        <w:numId w:val="3"/>
      </w:numPr>
      <w:spacing w:after="240"/>
      <w:outlineLvl w:val="5"/>
    </w:pPr>
    <w:rPr>
      <w:rFonts w:ascii="Montserrat" w:hAnsi="Montserrat"/>
    </w:rPr>
  </w:style>
  <w:style w:type="paragraph" w:styleId="Heading7">
    <w:name w:val="heading 7"/>
    <w:basedOn w:val="Normal"/>
    <w:next w:val="Normal"/>
    <w:link w:val="Heading7Char"/>
    <w:uiPriority w:val="9"/>
    <w:semiHidden/>
    <w:unhideWhenUsed/>
    <w:qFormat/>
    <w:rsid w:val="00F37F3A"/>
    <w:pPr>
      <w:keepNext/>
      <w:keepLines/>
      <w:numPr>
        <w:ilvl w:val="6"/>
        <w:numId w:val="3"/>
      </w:numPr>
      <w:spacing w:before="40"/>
      <w:jc w:val="both"/>
      <w:outlineLvl w:val="6"/>
    </w:pPr>
    <w:rPr>
      <w:rFonts w:asciiTheme="majorHAnsi" w:eastAsiaTheme="majorEastAsia" w:hAnsiTheme="majorHAnsi" w:cstheme="majorBidi"/>
      <w:b/>
      <w:bCs/>
      <w:color w:val="1F3864" w:themeColor="accent1" w:themeShade="80"/>
      <w:szCs w:val="22"/>
    </w:rPr>
  </w:style>
  <w:style w:type="paragraph" w:styleId="Heading8">
    <w:name w:val="heading 8"/>
    <w:basedOn w:val="Normal"/>
    <w:next w:val="Normal"/>
    <w:link w:val="Heading8Char"/>
    <w:uiPriority w:val="9"/>
    <w:semiHidden/>
    <w:unhideWhenUsed/>
    <w:qFormat/>
    <w:rsid w:val="00F37F3A"/>
    <w:pPr>
      <w:keepNext/>
      <w:keepLines/>
      <w:numPr>
        <w:ilvl w:val="7"/>
        <w:numId w:val="3"/>
      </w:numPr>
      <w:spacing w:before="40"/>
      <w:jc w:val="both"/>
      <w:outlineLvl w:val="7"/>
    </w:pPr>
    <w:rPr>
      <w:rFonts w:asciiTheme="majorHAnsi" w:eastAsiaTheme="majorEastAsia" w:hAnsiTheme="majorHAnsi" w:cstheme="majorBidi"/>
      <w:b/>
      <w:bCs/>
      <w:i/>
      <w:iCs/>
      <w:color w:val="1F3864" w:themeColor="accent1" w:themeShade="80"/>
      <w:szCs w:val="22"/>
    </w:rPr>
  </w:style>
  <w:style w:type="paragraph" w:styleId="Heading9">
    <w:name w:val="heading 9"/>
    <w:basedOn w:val="Normal"/>
    <w:next w:val="Normal"/>
    <w:link w:val="Heading9Char"/>
    <w:uiPriority w:val="9"/>
    <w:semiHidden/>
    <w:unhideWhenUsed/>
    <w:qFormat/>
    <w:rsid w:val="00F37F3A"/>
    <w:pPr>
      <w:keepNext/>
      <w:keepLines/>
      <w:numPr>
        <w:ilvl w:val="8"/>
        <w:numId w:val="3"/>
      </w:numPr>
      <w:spacing w:before="40"/>
      <w:jc w:val="both"/>
      <w:outlineLvl w:val="8"/>
    </w:pPr>
    <w:rPr>
      <w:rFonts w:asciiTheme="majorHAnsi" w:eastAsiaTheme="majorEastAsia" w:hAnsiTheme="majorHAnsi" w:cstheme="majorBidi"/>
      <w:i/>
      <w:iCs/>
      <w:color w:val="1F3864" w:themeColor="accent1" w:themeShade="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BDA"/>
    <w:pPr>
      <w:tabs>
        <w:tab w:val="center" w:pos="4513"/>
        <w:tab w:val="right" w:pos="9026"/>
      </w:tabs>
    </w:pPr>
  </w:style>
  <w:style w:type="character" w:customStyle="1" w:styleId="HeaderChar">
    <w:name w:val="Header Char"/>
    <w:basedOn w:val="DefaultParagraphFont"/>
    <w:link w:val="Header"/>
    <w:uiPriority w:val="99"/>
    <w:rsid w:val="00157BDA"/>
  </w:style>
  <w:style w:type="character" w:customStyle="1" w:styleId="Heading1Char">
    <w:name w:val="Heading 1 Char"/>
    <w:basedOn w:val="DefaultParagraphFont"/>
    <w:link w:val="Heading1"/>
    <w:uiPriority w:val="9"/>
    <w:rsid w:val="000F7C7C"/>
    <w:rPr>
      <w:rFonts w:ascii="Arial" w:eastAsia="Calibri" w:hAnsi="Arial" w:cs="Arial"/>
      <w:b/>
      <w:bCs/>
      <w:color w:val="FFFFFF" w:themeColor="background1"/>
      <w:sz w:val="28"/>
      <w:szCs w:val="28"/>
      <w:shd w:val="clear" w:color="auto" w:fill="4472C4" w:themeFill="accent1"/>
    </w:rPr>
  </w:style>
  <w:style w:type="character" w:customStyle="1" w:styleId="Heading2Char">
    <w:name w:val="Heading 2 Char"/>
    <w:basedOn w:val="DefaultParagraphFont"/>
    <w:link w:val="Heading2"/>
    <w:uiPriority w:val="9"/>
    <w:rsid w:val="00910683"/>
    <w:rPr>
      <w:rFonts w:ascii="Arial" w:eastAsia="Calibri" w:hAnsi="Arial" w:cs="Calibri Light"/>
      <w:b/>
      <w:noProof/>
      <w:color w:val="00B0F0"/>
      <w:spacing w:val="80"/>
      <w:szCs w:val="32"/>
    </w:rPr>
  </w:style>
  <w:style w:type="character" w:customStyle="1" w:styleId="Heading3Char">
    <w:name w:val="Heading 3 Char"/>
    <w:basedOn w:val="DefaultParagraphFont"/>
    <w:link w:val="Heading3"/>
    <w:uiPriority w:val="9"/>
    <w:rsid w:val="00DB4264"/>
    <w:rPr>
      <w:rFonts w:ascii="Arial" w:eastAsia="Calibri" w:hAnsi="Arial" w:cs="Calibri Light"/>
      <w:b/>
      <w:noProof/>
      <w:color w:val="FFFFFF" w:themeColor="background1"/>
      <w:spacing w:val="48"/>
      <w:szCs w:val="28"/>
    </w:rPr>
  </w:style>
  <w:style w:type="character" w:customStyle="1" w:styleId="Heading4Char">
    <w:name w:val="Heading 4 Char"/>
    <w:aliases w:val="Snapshot number Char"/>
    <w:basedOn w:val="DefaultParagraphFont"/>
    <w:link w:val="Heading4"/>
    <w:uiPriority w:val="9"/>
    <w:rsid w:val="002014BE"/>
    <w:rPr>
      <w:rFonts w:ascii="Arial" w:eastAsia="Calibri" w:hAnsi="Arial" w:cs="Arial"/>
      <w:color w:val="002060"/>
      <w:sz w:val="72"/>
      <w:szCs w:val="72"/>
    </w:rPr>
  </w:style>
  <w:style w:type="character" w:customStyle="1" w:styleId="Heading5Char">
    <w:name w:val="Heading 5 Char"/>
    <w:basedOn w:val="DefaultParagraphFont"/>
    <w:link w:val="Heading5"/>
    <w:uiPriority w:val="9"/>
    <w:rsid w:val="00157BDA"/>
    <w:rPr>
      <w:b/>
      <w:bCs/>
      <w:color w:val="F15D2F"/>
    </w:rPr>
  </w:style>
  <w:style w:type="paragraph" w:styleId="Footer">
    <w:name w:val="footer"/>
    <w:basedOn w:val="Normal"/>
    <w:link w:val="FooterChar"/>
    <w:uiPriority w:val="99"/>
    <w:unhideWhenUsed/>
    <w:qFormat/>
    <w:rsid w:val="00157BDA"/>
    <w:pPr>
      <w:tabs>
        <w:tab w:val="center" w:pos="4513"/>
        <w:tab w:val="right" w:pos="9026"/>
      </w:tabs>
    </w:pPr>
  </w:style>
  <w:style w:type="character" w:customStyle="1" w:styleId="FooterChar">
    <w:name w:val="Footer Char"/>
    <w:basedOn w:val="DefaultParagraphFont"/>
    <w:link w:val="Footer"/>
    <w:uiPriority w:val="99"/>
    <w:rsid w:val="00157BDA"/>
  </w:style>
  <w:style w:type="paragraph" w:styleId="Title">
    <w:name w:val="Title"/>
    <w:basedOn w:val="Normal"/>
    <w:next w:val="Normal"/>
    <w:link w:val="TitleChar"/>
    <w:uiPriority w:val="10"/>
    <w:qFormat/>
    <w:rsid w:val="00880A27"/>
    <w:rPr>
      <w:rFonts w:ascii="Montserrat SemiBold" w:hAnsi="Montserrat SemiBold"/>
      <w:color w:val="545454"/>
      <w:sz w:val="96"/>
      <w:szCs w:val="96"/>
    </w:rPr>
  </w:style>
  <w:style w:type="character" w:customStyle="1" w:styleId="TitleChar">
    <w:name w:val="Title Char"/>
    <w:basedOn w:val="DefaultParagraphFont"/>
    <w:link w:val="Title"/>
    <w:uiPriority w:val="10"/>
    <w:rsid w:val="00880A27"/>
    <w:rPr>
      <w:rFonts w:ascii="Montserrat SemiBold" w:eastAsia="Calibri" w:hAnsi="Montserrat SemiBold" w:cs="Arial"/>
      <w:color w:val="545454"/>
      <w:sz w:val="96"/>
      <w:szCs w:val="96"/>
    </w:rPr>
  </w:style>
  <w:style w:type="paragraph" w:styleId="ListParagraph">
    <w:name w:val="List Paragraph"/>
    <w:aliases w:val="OIC Bullet,6. Numbered Bullets,Recommendatio,F5 List Paragraph,List Paragraph2,MAIN CONTENT,List Paragraph12,Dot pt,List Paragraph1,No Spacing1,List Paragraph Char Char Char,Indicator Text,Numbered Para 1,Bullet Points,Bullet 1,Table"/>
    <w:basedOn w:val="Normal"/>
    <w:link w:val="ListParagraphChar"/>
    <w:uiPriority w:val="34"/>
    <w:qFormat/>
    <w:rsid w:val="007611C8"/>
    <w:pPr>
      <w:contextualSpacing/>
    </w:pPr>
  </w:style>
  <w:style w:type="character" w:styleId="Hyperlink">
    <w:name w:val="Hyperlink"/>
    <w:basedOn w:val="DefaultParagraphFont"/>
    <w:uiPriority w:val="99"/>
    <w:unhideWhenUsed/>
    <w:rsid w:val="00C16D58"/>
    <w:rPr>
      <w:color w:val="0563C1" w:themeColor="hyperlink"/>
      <w:u w:val="single"/>
    </w:rPr>
  </w:style>
  <w:style w:type="character" w:styleId="UnresolvedMention">
    <w:name w:val="Unresolved Mention"/>
    <w:basedOn w:val="DefaultParagraphFont"/>
    <w:uiPriority w:val="99"/>
    <w:semiHidden/>
    <w:unhideWhenUsed/>
    <w:rsid w:val="00C16D58"/>
    <w:rPr>
      <w:color w:val="605E5C"/>
      <w:shd w:val="clear" w:color="auto" w:fill="E1DFDD"/>
    </w:rPr>
  </w:style>
  <w:style w:type="table" w:styleId="TableGrid">
    <w:name w:val="Table Grid"/>
    <w:basedOn w:val="TableNormal"/>
    <w:rsid w:val="00616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02C7"/>
    <w:rPr>
      <w:color w:val="808080"/>
    </w:rPr>
  </w:style>
  <w:style w:type="character" w:customStyle="1" w:styleId="Heading6Char">
    <w:name w:val="Heading 6 Char"/>
    <w:aliases w:val="Coverage line Char"/>
    <w:basedOn w:val="DefaultParagraphFont"/>
    <w:link w:val="Heading6"/>
    <w:uiPriority w:val="9"/>
    <w:rsid w:val="008E6753"/>
    <w:rPr>
      <w:rFonts w:ascii="Montserrat" w:eastAsia="Calibri" w:hAnsi="Montserrat" w:cs="Arial"/>
      <w:color w:val="262626"/>
      <w:szCs w:val="20"/>
    </w:rPr>
  </w:style>
  <w:style w:type="paragraph" w:styleId="NoSpacing">
    <w:name w:val="No Spacing"/>
    <w:uiPriority w:val="1"/>
    <w:qFormat/>
    <w:rsid w:val="008E6753"/>
    <w:pPr>
      <w:spacing w:after="0" w:line="240" w:lineRule="auto"/>
    </w:pPr>
    <w:rPr>
      <w:rFonts w:ascii="Montserrat Light" w:eastAsia="Calibri" w:hAnsi="Montserrat Light" w:cs="Arial"/>
      <w:color w:val="262626"/>
      <w:sz w:val="24"/>
      <w:szCs w:val="20"/>
    </w:rPr>
  </w:style>
  <w:style w:type="character" w:styleId="Strong">
    <w:name w:val="Strong"/>
    <w:uiPriority w:val="22"/>
    <w:qFormat/>
    <w:rsid w:val="008E6753"/>
    <w:rPr>
      <w:rFonts w:ascii="Montserrat SemiBold" w:hAnsi="Montserrat SemiBold"/>
    </w:rPr>
  </w:style>
  <w:style w:type="paragraph" w:customStyle="1" w:styleId="trt0xe">
    <w:name w:val="trt0xe"/>
    <w:basedOn w:val="Normal"/>
    <w:rsid w:val="0043305B"/>
    <w:pPr>
      <w:spacing w:before="100" w:beforeAutospacing="1" w:after="100" w:afterAutospacing="1"/>
    </w:pPr>
    <w:rPr>
      <w:rFonts w:ascii="Times New Roman" w:eastAsia="Times New Roman" w:hAnsi="Times New Roman" w:cs="Times New Roman"/>
      <w:color w:val="auto"/>
      <w:szCs w:val="24"/>
      <w:lang w:eastAsia="en-GB"/>
    </w:rPr>
  </w:style>
  <w:style w:type="paragraph" w:styleId="BalloonText">
    <w:name w:val="Balloon Text"/>
    <w:basedOn w:val="Normal"/>
    <w:link w:val="BalloonTextChar"/>
    <w:uiPriority w:val="99"/>
    <w:semiHidden/>
    <w:unhideWhenUsed/>
    <w:rsid w:val="003B2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A1"/>
    <w:rPr>
      <w:rFonts w:ascii="Segoe UI" w:eastAsia="Calibri" w:hAnsi="Segoe UI" w:cs="Segoe UI"/>
      <w:color w:val="262626"/>
      <w:sz w:val="18"/>
      <w:szCs w:val="18"/>
    </w:rPr>
  </w:style>
  <w:style w:type="paragraph" w:styleId="Subtitle">
    <w:name w:val="Subtitle"/>
    <w:basedOn w:val="Normal"/>
    <w:next w:val="Normal"/>
    <w:link w:val="SubtitleChar"/>
    <w:uiPriority w:val="11"/>
    <w:qFormat/>
    <w:rsid w:val="007611C8"/>
    <w:pPr>
      <w:spacing w:after="160" w:line="259" w:lineRule="auto"/>
    </w:pPr>
    <w:rPr>
      <w:caps/>
      <w:sz w:val="36"/>
      <w:szCs w:val="36"/>
    </w:rPr>
  </w:style>
  <w:style w:type="character" w:customStyle="1" w:styleId="SubtitleChar">
    <w:name w:val="Subtitle Char"/>
    <w:basedOn w:val="DefaultParagraphFont"/>
    <w:link w:val="Subtitle"/>
    <w:uiPriority w:val="11"/>
    <w:rsid w:val="007611C8"/>
    <w:rPr>
      <w:rFonts w:ascii="Montserrat Light" w:eastAsia="Calibri" w:hAnsi="Montserrat Light" w:cs="Arial"/>
      <w:caps/>
      <w:color w:val="262626"/>
      <w:sz w:val="36"/>
      <w:szCs w:val="36"/>
    </w:rPr>
  </w:style>
  <w:style w:type="paragraph" w:styleId="Quote">
    <w:name w:val="Quote"/>
    <w:basedOn w:val="Heading4"/>
    <w:next w:val="Normal"/>
    <w:link w:val="QuoteChar"/>
    <w:uiPriority w:val="29"/>
    <w:qFormat/>
    <w:rsid w:val="006C11AB"/>
    <w:rPr>
      <w:sz w:val="52"/>
    </w:rPr>
  </w:style>
  <w:style w:type="character" w:customStyle="1" w:styleId="QuoteChar">
    <w:name w:val="Quote Char"/>
    <w:basedOn w:val="DefaultParagraphFont"/>
    <w:link w:val="Quote"/>
    <w:uiPriority w:val="29"/>
    <w:rsid w:val="006C11AB"/>
    <w:rPr>
      <w:rFonts w:ascii="Arial" w:eastAsia="Calibri" w:hAnsi="Arial" w:cs="Arial"/>
      <w:color w:val="002060"/>
      <w:sz w:val="52"/>
      <w:szCs w:val="72"/>
    </w:rPr>
  </w:style>
  <w:style w:type="paragraph" w:styleId="TOC1">
    <w:name w:val="toc 1"/>
    <w:basedOn w:val="Normal"/>
    <w:next w:val="Normal"/>
    <w:autoRedefine/>
    <w:uiPriority w:val="39"/>
    <w:unhideWhenUsed/>
    <w:rsid w:val="00FE3D33"/>
    <w:pPr>
      <w:spacing w:after="100"/>
    </w:pPr>
  </w:style>
  <w:style w:type="paragraph" w:styleId="TOC2">
    <w:name w:val="toc 2"/>
    <w:basedOn w:val="Normal"/>
    <w:next w:val="Normal"/>
    <w:autoRedefine/>
    <w:uiPriority w:val="39"/>
    <w:unhideWhenUsed/>
    <w:rsid w:val="00FE3D33"/>
    <w:pPr>
      <w:spacing w:after="100"/>
      <w:ind w:left="240"/>
    </w:pPr>
  </w:style>
  <w:style w:type="paragraph" w:styleId="Caption">
    <w:name w:val="caption"/>
    <w:basedOn w:val="Normal"/>
    <w:next w:val="Normal"/>
    <w:uiPriority w:val="35"/>
    <w:unhideWhenUsed/>
    <w:qFormat/>
    <w:rsid w:val="006F5AA8"/>
    <w:pPr>
      <w:spacing w:after="200"/>
    </w:pPr>
    <w:rPr>
      <w:rFonts w:ascii="Montserrat" w:hAnsi="Montserrat"/>
      <w:color w:val="44546A" w:themeColor="text2"/>
      <w:sz w:val="18"/>
      <w:szCs w:val="18"/>
    </w:rPr>
  </w:style>
  <w:style w:type="paragraph" w:styleId="TOCHeading">
    <w:name w:val="TOC Heading"/>
    <w:basedOn w:val="Heading1"/>
    <w:next w:val="Normal"/>
    <w:uiPriority w:val="39"/>
    <w:unhideWhenUsed/>
    <w:qFormat/>
    <w:rsid w:val="00DA06D3"/>
    <w:pPr>
      <w:keepNext/>
      <w:keepLines/>
      <w:spacing w:before="240" w:line="259" w:lineRule="auto"/>
      <w:outlineLvl w:val="9"/>
    </w:pPr>
    <w:rPr>
      <w:rFonts w:asciiTheme="majorHAnsi" w:eastAsiaTheme="majorEastAsia" w:hAnsiTheme="majorHAnsi" w:cstheme="majorBidi"/>
      <w:caps/>
      <w:color w:val="2F5496" w:themeColor="accent1" w:themeShade="BF"/>
      <w:sz w:val="32"/>
      <w:szCs w:val="32"/>
      <w:lang w:eastAsia="en-GB"/>
    </w:rPr>
  </w:style>
  <w:style w:type="paragraph" w:styleId="TOC3">
    <w:name w:val="toc 3"/>
    <w:basedOn w:val="Normal"/>
    <w:next w:val="Normal"/>
    <w:autoRedefine/>
    <w:uiPriority w:val="39"/>
    <w:unhideWhenUsed/>
    <w:rsid w:val="00074B74"/>
    <w:pPr>
      <w:spacing w:after="100" w:line="259" w:lineRule="auto"/>
      <w:ind w:left="440"/>
    </w:pPr>
    <w:rPr>
      <w:rFonts w:asciiTheme="minorHAnsi" w:eastAsiaTheme="minorEastAsia" w:hAnsiTheme="minorHAnsi" w:cs="Times New Roman"/>
      <w:color w:val="auto"/>
      <w:szCs w:val="22"/>
      <w:lang w:eastAsia="en-GB"/>
    </w:rPr>
  </w:style>
  <w:style w:type="character" w:customStyle="1" w:styleId="ListParagraphChar">
    <w:name w:val="List Paragraph Char"/>
    <w:aliases w:val="OIC Bullet Char,6. Numbered Bullets Char,Recommendatio Char,F5 List Paragraph Char,List Paragraph2 Char,MAIN CONTENT Char,List Paragraph12 Char,Dot pt Char,List Paragraph1 Char,No Spacing1 Char,List Paragraph Char Char Char Char"/>
    <w:link w:val="ListParagraph"/>
    <w:uiPriority w:val="34"/>
    <w:qFormat/>
    <w:locked/>
    <w:rsid w:val="00DA06D3"/>
    <w:rPr>
      <w:rFonts w:ascii="Montserrat Light" w:eastAsia="Calibri" w:hAnsi="Montserrat Light" w:cs="Arial"/>
      <w:color w:val="262626"/>
      <w:sz w:val="24"/>
      <w:szCs w:val="20"/>
    </w:rPr>
  </w:style>
  <w:style w:type="character" w:styleId="CommentReference">
    <w:name w:val="annotation reference"/>
    <w:basedOn w:val="DefaultParagraphFont"/>
    <w:uiPriority w:val="99"/>
    <w:semiHidden/>
    <w:unhideWhenUsed/>
    <w:rsid w:val="00DA06D3"/>
    <w:rPr>
      <w:sz w:val="16"/>
      <w:szCs w:val="16"/>
    </w:rPr>
  </w:style>
  <w:style w:type="paragraph" w:styleId="CommentText">
    <w:name w:val="annotation text"/>
    <w:basedOn w:val="Normal"/>
    <w:link w:val="CommentTextChar"/>
    <w:uiPriority w:val="99"/>
    <w:unhideWhenUsed/>
    <w:rsid w:val="00DA06D3"/>
    <w:pPr>
      <w:spacing w:after="160"/>
    </w:pPr>
    <w:rPr>
      <w:rFonts w:asciiTheme="minorHAnsi" w:eastAsiaTheme="minorHAnsi" w:hAnsiTheme="minorHAnsi" w:cstheme="minorBidi"/>
      <w:color w:val="auto"/>
      <w:sz w:val="20"/>
    </w:rPr>
  </w:style>
  <w:style w:type="character" w:customStyle="1" w:styleId="CommentTextChar">
    <w:name w:val="Comment Text Char"/>
    <w:basedOn w:val="DefaultParagraphFont"/>
    <w:link w:val="CommentText"/>
    <w:uiPriority w:val="99"/>
    <w:rsid w:val="00DA06D3"/>
    <w:rPr>
      <w:sz w:val="20"/>
      <w:szCs w:val="20"/>
    </w:rPr>
  </w:style>
  <w:style w:type="paragraph" w:styleId="CommentSubject">
    <w:name w:val="annotation subject"/>
    <w:basedOn w:val="CommentText"/>
    <w:next w:val="CommentText"/>
    <w:link w:val="CommentSubjectChar"/>
    <w:uiPriority w:val="99"/>
    <w:semiHidden/>
    <w:unhideWhenUsed/>
    <w:rsid w:val="00DA06D3"/>
    <w:rPr>
      <w:b/>
      <w:bCs/>
    </w:rPr>
  </w:style>
  <w:style w:type="character" w:customStyle="1" w:styleId="CommentSubjectChar">
    <w:name w:val="Comment Subject Char"/>
    <w:basedOn w:val="CommentTextChar"/>
    <w:link w:val="CommentSubject"/>
    <w:uiPriority w:val="99"/>
    <w:semiHidden/>
    <w:rsid w:val="00DA06D3"/>
    <w:rPr>
      <w:b/>
      <w:bCs/>
      <w:sz w:val="20"/>
      <w:szCs w:val="20"/>
    </w:rPr>
  </w:style>
  <w:style w:type="paragraph" w:customStyle="1" w:styleId="Default">
    <w:name w:val="Default"/>
    <w:link w:val="DefaultChar"/>
    <w:rsid w:val="00DA06D3"/>
    <w:pPr>
      <w:autoSpaceDE w:val="0"/>
      <w:autoSpaceDN w:val="0"/>
      <w:adjustRightInd w:val="0"/>
      <w:spacing w:after="0" w:line="240" w:lineRule="auto"/>
    </w:pPr>
    <w:rPr>
      <w:rFonts w:ascii="Arial" w:hAnsi="Arial" w:cs="Arial"/>
      <w:color w:val="000000"/>
      <w:sz w:val="24"/>
      <w:szCs w:val="24"/>
    </w:rPr>
  </w:style>
  <w:style w:type="table" w:customStyle="1" w:styleId="Style1">
    <w:name w:val="Style1"/>
    <w:basedOn w:val="TableNormal"/>
    <w:uiPriority w:val="99"/>
    <w:rsid w:val="00DA06D3"/>
    <w:pPr>
      <w:spacing w:after="0" w:line="240" w:lineRule="auto"/>
    </w:pPr>
    <w:rPr>
      <w:rFonts w:eastAsia="Times New Roman" w:cs="Times New Roman"/>
    </w:rPr>
    <w:tblPr/>
  </w:style>
  <w:style w:type="character" w:customStyle="1" w:styleId="cf01">
    <w:name w:val="cf01"/>
    <w:basedOn w:val="DefaultParagraphFont"/>
    <w:rsid w:val="00DA06D3"/>
    <w:rPr>
      <w:rFonts w:ascii="Segoe UI" w:hAnsi="Segoe UI" w:cs="Segoe UI" w:hint="default"/>
      <w:sz w:val="18"/>
      <w:szCs w:val="18"/>
    </w:rPr>
  </w:style>
  <w:style w:type="character" w:styleId="Emphasis">
    <w:name w:val="Emphasis"/>
    <w:basedOn w:val="DefaultParagraphFont"/>
    <w:uiPriority w:val="20"/>
    <w:qFormat/>
    <w:rsid w:val="00DA06D3"/>
    <w:rPr>
      <w:i/>
      <w:iCs/>
    </w:rPr>
  </w:style>
  <w:style w:type="table" w:customStyle="1" w:styleId="TableGrid0">
    <w:name w:val="TableGrid"/>
    <w:rsid w:val="00DA06D3"/>
    <w:pPr>
      <w:spacing w:after="0" w:line="240" w:lineRule="auto"/>
    </w:pPr>
    <w:rPr>
      <w:rFonts w:eastAsiaTheme="minorEastAsia"/>
      <w:lang w:eastAsia="en-GB"/>
    </w:rPr>
    <w:tblPr>
      <w:tblCellMar>
        <w:top w:w="0" w:type="dxa"/>
        <w:left w:w="0" w:type="dxa"/>
        <w:bottom w:w="0" w:type="dxa"/>
        <w:right w:w="0" w:type="dxa"/>
      </w:tblCellMar>
    </w:tblPr>
  </w:style>
  <w:style w:type="paragraph" w:styleId="BodyText2">
    <w:name w:val="Body Text 2"/>
    <w:basedOn w:val="Normal"/>
    <w:link w:val="BodyText2Char"/>
    <w:semiHidden/>
    <w:rsid w:val="00DA06D3"/>
    <w:pPr>
      <w:jc w:val="both"/>
    </w:pPr>
    <w:rPr>
      <w:rFonts w:eastAsia="Times New Roman"/>
      <w:color w:val="auto"/>
      <w:szCs w:val="28"/>
    </w:rPr>
  </w:style>
  <w:style w:type="character" w:customStyle="1" w:styleId="BodyText2Char">
    <w:name w:val="Body Text 2 Char"/>
    <w:basedOn w:val="DefaultParagraphFont"/>
    <w:link w:val="BodyText2"/>
    <w:semiHidden/>
    <w:rsid w:val="00DA06D3"/>
    <w:rPr>
      <w:rFonts w:ascii="Arial" w:eastAsia="Times New Roman" w:hAnsi="Arial" w:cs="Arial"/>
      <w:sz w:val="24"/>
      <w:szCs w:val="28"/>
    </w:rPr>
  </w:style>
  <w:style w:type="character" w:styleId="FollowedHyperlink">
    <w:name w:val="FollowedHyperlink"/>
    <w:basedOn w:val="DefaultParagraphFont"/>
    <w:uiPriority w:val="99"/>
    <w:semiHidden/>
    <w:unhideWhenUsed/>
    <w:rsid w:val="00DA06D3"/>
    <w:rPr>
      <w:color w:val="954F72" w:themeColor="followedHyperlink"/>
      <w:u w:val="single"/>
    </w:rPr>
  </w:style>
  <w:style w:type="table" w:styleId="GridTable5Dark-Accent5">
    <w:name w:val="Grid Table 5 Dark Accent 5"/>
    <w:basedOn w:val="TableNormal"/>
    <w:uiPriority w:val="50"/>
    <w:rsid w:val="00DA06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sion">
    <w:name w:val="Revision"/>
    <w:hidden/>
    <w:uiPriority w:val="99"/>
    <w:semiHidden/>
    <w:rsid w:val="00DA06D3"/>
    <w:pPr>
      <w:spacing w:after="0" w:line="240" w:lineRule="auto"/>
    </w:pPr>
  </w:style>
  <w:style w:type="paragraph" w:customStyle="1" w:styleId="SubPara">
    <w:name w:val="Sub Para"/>
    <w:basedOn w:val="Heading1"/>
    <w:link w:val="SubParaChar"/>
    <w:qFormat/>
    <w:rsid w:val="00A92707"/>
    <w:pPr>
      <w:numPr>
        <w:ilvl w:val="1"/>
        <w:numId w:val="1"/>
      </w:numPr>
      <w:ind w:left="567" w:hanging="567"/>
    </w:pPr>
    <w:rPr>
      <w:b w:val="0"/>
      <w:bCs w:val="0"/>
      <w:caps/>
      <w:szCs w:val="24"/>
      <w:lang w:eastAsia="en-GB"/>
    </w:rPr>
  </w:style>
  <w:style w:type="character" w:customStyle="1" w:styleId="SubParaChar">
    <w:name w:val="Sub Para Char"/>
    <w:basedOn w:val="Heading1Char"/>
    <w:link w:val="SubPara"/>
    <w:rsid w:val="00A92707"/>
    <w:rPr>
      <w:rFonts w:ascii="Arial" w:eastAsia="Calibri" w:hAnsi="Arial" w:cs="Arial"/>
      <w:b w:val="0"/>
      <w:bCs w:val="0"/>
      <w:caps/>
      <w:color w:val="FFFFFF" w:themeColor="background1"/>
      <w:sz w:val="28"/>
      <w:szCs w:val="24"/>
      <w:shd w:val="clear" w:color="auto" w:fill="4472C4" w:themeFill="accent1"/>
      <w:lang w:eastAsia="en-GB"/>
    </w:rPr>
  </w:style>
  <w:style w:type="character" w:customStyle="1" w:styleId="Heading7Char">
    <w:name w:val="Heading 7 Char"/>
    <w:basedOn w:val="DefaultParagraphFont"/>
    <w:link w:val="Heading7"/>
    <w:uiPriority w:val="9"/>
    <w:semiHidden/>
    <w:rsid w:val="00F37F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37F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37F3A"/>
    <w:rPr>
      <w:rFonts w:asciiTheme="majorHAnsi" w:eastAsiaTheme="majorEastAsia" w:hAnsiTheme="majorHAnsi" w:cstheme="majorBidi"/>
      <w:i/>
      <w:iCs/>
      <w:color w:val="1F3864" w:themeColor="accent1" w:themeShade="80"/>
    </w:rPr>
  </w:style>
  <w:style w:type="paragraph" w:styleId="IntenseQuote">
    <w:name w:val="Intense Quote"/>
    <w:basedOn w:val="Normal"/>
    <w:next w:val="Normal"/>
    <w:link w:val="IntenseQuoteChar"/>
    <w:uiPriority w:val="30"/>
    <w:qFormat/>
    <w:rsid w:val="00F37F3A"/>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37F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37F3A"/>
    <w:rPr>
      <w:i/>
      <w:iCs/>
      <w:color w:val="595959" w:themeColor="text1" w:themeTint="A6"/>
    </w:rPr>
  </w:style>
  <w:style w:type="character" w:styleId="IntenseEmphasis">
    <w:name w:val="Intense Emphasis"/>
    <w:basedOn w:val="DefaultParagraphFont"/>
    <w:uiPriority w:val="21"/>
    <w:qFormat/>
    <w:rsid w:val="00F37F3A"/>
    <w:rPr>
      <w:b/>
      <w:bCs/>
      <w:i/>
      <w:iCs/>
    </w:rPr>
  </w:style>
  <w:style w:type="character" w:styleId="SubtleReference">
    <w:name w:val="Subtle Reference"/>
    <w:basedOn w:val="DefaultParagraphFont"/>
    <w:uiPriority w:val="31"/>
    <w:qFormat/>
    <w:rsid w:val="00F37F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37F3A"/>
    <w:rPr>
      <w:b/>
      <w:bCs/>
      <w:smallCaps/>
      <w:color w:val="44546A" w:themeColor="text2"/>
      <w:u w:val="single"/>
    </w:rPr>
  </w:style>
  <w:style w:type="character" w:styleId="BookTitle">
    <w:name w:val="Book Title"/>
    <w:basedOn w:val="DefaultParagraphFont"/>
    <w:uiPriority w:val="33"/>
    <w:qFormat/>
    <w:rsid w:val="00F37F3A"/>
    <w:rPr>
      <w:b/>
      <w:bCs/>
      <w:smallCaps/>
      <w:spacing w:val="10"/>
    </w:rPr>
  </w:style>
  <w:style w:type="paragraph" w:styleId="BodyText3">
    <w:name w:val="Body Text 3"/>
    <w:basedOn w:val="Normal"/>
    <w:link w:val="BodyText3Char"/>
    <w:uiPriority w:val="99"/>
    <w:rsid w:val="00F37F3A"/>
    <w:pPr>
      <w:ind w:right="-610"/>
      <w:jc w:val="both"/>
    </w:pPr>
    <w:rPr>
      <w:rFonts w:eastAsiaTheme="minorEastAsia"/>
      <w:color w:val="auto"/>
      <w:szCs w:val="24"/>
    </w:rPr>
  </w:style>
  <w:style w:type="character" w:customStyle="1" w:styleId="BodyText3Char">
    <w:name w:val="Body Text 3 Char"/>
    <w:basedOn w:val="DefaultParagraphFont"/>
    <w:link w:val="BodyText3"/>
    <w:uiPriority w:val="99"/>
    <w:rsid w:val="00F37F3A"/>
    <w:rPr>
      <w:rFonts w:ascii="Arial" w:eastAsiaTheme="minorEastAsia" w:hAnsi="Arial" w:cs="Arial"/>
      <w:sz w:val="24"/>
      <w:szCs w:val="24"/>
    </w:rPr>
  </w:style>
  <w:style w:type="paragraph" w:styleId="NormalWeb">
    <w:name w:val="Normal (Web)"/>
    <w:basedOn w:val="Normal"/>
    <w:uiPriority w:val="99"/>
    <w:unhideWhenUsed/>
    <w:rsid w:val="00F37F3A"/>
    <w:pPr>
      <w:spacing w:before="100" w:beforeAutospacing="1" w:after="100" w:afterAutospacing="1"/>
    </w:pPr>
    <w:rPr>
      <w:rFonts w:ascii="Times New Roman" w:eastAsia="Times New Roman" w:hAnsi="Times New Roman" w:cs="Times New Roman"/>
      <w:color w:val="auto"/>
      <w:szCs w:val="24"/>
      <w:lang w:eastAsia="en-GB"/>
    </w:rPr>
  </w:style>
  <w:style w:type="paragraph" w:customStyle="1" w:styleId="Normal20">
    <w:name w:val="Normal_20"/>
    <w:qFormat/>
    <w:rsid w:val="00F37F3A"/>
    <w:pPr>
      <w:spacing w:after="0"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F3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basedOn w:val="DefaultParagraphFont"/>
    <w:link w:val="Default"/>
    <w:locked/>
    <w:rsid w:val="00F37F3A"/>
    <w:rPr>
      <w:rFonts w:ascii="Arial" w:hAnsi="Arial" w:cs="Arial"/>
      <w:color w:val="000000"/>
      <w:sz w:val="24"/>
      <w:szCs w:val="24"/>
    </w:rPr>
  </w:style>
  <w:style w:type="paragraph" w:customStyle="1" w:styleId="Heading">
    <w:name w:val="Heading"/>
    <w:basedOn w:val="Normal"/>
    <w:rsid w:val="00577F18"/>
    <w:pPr>
      <w:ind w:left="709" w:hanging="709"/>
    </w:pPr>
    <w:rPr>
      <w:rFonts w:ascii="Garamond" w:eastAsia="Times New Roman" w:hAnsi="Garamond" w:cs="Times New Roman"/>
      <w:b/>
      <w:color w:val="auto"/>
      <w:lang w:eastAsia="en-GB"/>
    </w:rPr>
  </w:style>
  <w:style w:type="character" w:customStyle="1" w:styleId="normaltextrun">
    <w:name w:val="normaltextrun"/>
    <w:basedOn w:val="DefaultParagraphFont"/>
    <w:rsid w:val="00256C96"/>
  </w:style>
  <w:style w:type="paragraph" w:customStyle="1" w:styleId="NumberedParagraph">
    <w:name w:val="Numbered Paragraph"/>
    <w:basedOn w:val="Normal"/>
    <w:rsid w:val="00FF70F1"/>
    <w:pPr>
      <w:numPr>
        <w:numId w:val="4"/>
      </w:numPr>
    </w:pPr>
    <w:rPr>
      <w:rFonts w:ascii="Calibri" w:hAnsi="Calibri" w:cs="Times New Roman"/>
      <w:color w:val="auto"/>
      <w:szCs w:val="22"/>
    </w:rPr>
  </w:style>
  <w:style w:type="character" w:customStyle="1" w:styleId="eop">
    <w:name w:val="eop"/>
    <w:basedOn w:val="DefaultParagraphFont"/>
    <w:rsid w:val="00FF70F1"/>
  </w:style>
  <w:style w:type="table" w:styleId="GridTable2-Accent5">
    <w:name w:val="Grid Table 2 Accent 5"/>
    <w:basedOn w:val="TableNormal"/>
    <w:uiPriority w:val="47"/>
    <w:rsid w:val="00FF70F1"/>
    <w:pPr>
      <w:spacing w:after="0" w:line="240" w:lineRule="auto"/>
    </w:pPr>
    <w:rPr>
      <w:rFonts w:eastAsiaTheme="minorEastAsia"/>
      <w:lang w:eastAsia="en-GB"/>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FF70F1"/>
    <w:pPr>
      <w:spacing w:after="0" w:line="240" w:lineRule="auto"/>
    </w:pPr>
    <w:rPr>
      <w:rFonts w:eastAsiaTheme="minorEastAsia"/>
      <w:lang w:eastAsia="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ormal0">
    <w:name w:val="Normal_0"/>
    <w:qFormat/>
    <w:rsid w:val="00FF70F1"/>
    <w:pPr>
      <w:spacing w:after="0" w:line="240" w:lineRule="auto"/>
    </w:pPr>
    <w:rPr>
      <w:rFonts w:ascii="Calibri" w:eastAsia="Times New Roman" w:hAnsi="Calibri" w:cs="Times New Roman"/>
      <w:sz w:val="24"/>
      <w:szCs w:val="20"/>
      <w:lang w:eastAsia="en-GB"/>
    </w:rPr>
  </w:style>
  <w:style w:type="paragraph" w:customStyle="1" w:styleId="Normal1">
    <w:name w:val="Normal_1"/>
    <w:qFormat/>
    <w:rsid w:val="00FF70F1"/>
    <w:pPr>
      <w:spacing w:after="0" w:line="240" w:lineRule="auto"/>
    </w:pPr>
    <w:rPr>
      <w:rFonts w:ascii="Times New Roman" w:eastAsia="Times New Roman" w:hAnsi="Times New Roman" w:cs="Times New Roman"/>
      <w:sz w:val="24"/>
      <w:szCs w:val="24"/>
      <w:lang w:eastAsia="en-GB"/>
    </w:rPr>
  </w:style>
  <w:style w:type="paragraph" w:customStyle="1" w:styleId="Normal2">
    <w:name w:val="Normal_2"/>
    <w:qFormat/>
    <w:rsid w:val="00FF70F1"/>
    <w:pPr>
      <w:spacing w:after="0" w:line="240" w:lineRule="auto"/>
    </w:pPr>
    <w:rPr>
      <w:rFonts w:ascii="Times New Roman" w:eastAsia="Times New Roman" w:hAnsi="Times New Roman" w:cs="Times New Roman"/>
      <w:sz w:val="24"/>
      <w:szCs w:val="24"/>
      <w:lang w:eastAsia="en-GB"/>
    </w:rPr>
  </w:style>
  <w:style w:type="paragraph" w:customStyle="1" w:styleId="Normal9">
    <w:name w:val="Normal_9"/>
    <w:qFormat/>
    <w:rsid w:val="00FF70F1"/>
    <w:pPr>
      <w:spacing w:after="0" w:line="240" w:lineRule="auto"/>
    </w:pPr>
    <w:rPr>
      <w:rFonts w:ascii="Times New Roman" w:eastAsia="Times New Roman" w:hAnsi="Times New Roman" w:cs="Times New Roman"/>
      <w:sz w:val="20"/>
      <w:szCs w:val="20"/>
      <w:lang w:eastAsia="en-GB"/>
    </w:rPr>
  </w:style>
  <w:style w:type="paragraph" w:styleId="BodyTextIndent">
    <w:name w:val="Body Text Indent"/>
    <w:basedOn w:val="Normal"/>
    <w:link w:val="BodyTextIndentChar"/>
    <w:uiPriority w:val="99"/>
    <w:semiHidden/>
    <w:unhideWhenUsed/>
    <w:rsid w:val="00FF70F1"/>
    <w:pPr>
      <w:spacing w:after="120"/>
      <w:ind w:left="283"/>
    </w:pPr>
    <w:rPr>
      <w:rFonts w:eastAsiaTheme="minorEastAsia" w:cstheme="minorBidi"/>
      <w:color w:val="auto"/>
      <w:szCs w:val="22"/>
      <w:lang w:eastAsia="en-GB"/>
    </w:rPr>
  </w:style>
  <w:style w:type="character" w:customStyle="1" w:styleId="BodyTextIndentChar">
    <w:name w:val="Body Text Indent Char"/>
    <w:basedOn w:val="DefaultParagraphFont"/>
    <w:link w:val="BodyTextIndent"/>
    <w:uiPriority w:val="99"/>
    <w:semiHidden/>
    <w:rsid w:val="00FF70F1"/>
    <w:rPr>
      <w:rFonts w:ascii="Arial" w:eastAsiaTheme="minorEastAsia" w:hAnsi="Arial"/>
      <w:sz w:val="24"/>
      <w:lang w:eastAsia="en-GB"/>
    </w:rPr>
  </w:style>
  <w:style w:type="paragraph" w:customStyle="1" w:styleId="pf0">
    <w:name w:val="pf0"/>
    <w:basedOn w:val="Normal"/>
    <w:rsid w:val="00FF70F1"/>
    <w:pPr>
      <w:spacing w:before="100" w:beforeAutospacing="1" w:after="100" w:afterAutospacing="1"/>
    </w:pPr>
    <w:rPr>
      <w:rFonts w:ascii="Times New Roman" w:eastAsia="Times New Roman" w:hAnsi="Times New Roman" w:cs="Times New Roman"/>
      <w:color w:val="auto"/>
      <w:szCs w:val="24"/>
      <w:lang w:eastAsia="en-GB"/>
    </w:rPr>
  </w:style>
  <w:style w:type="character" w:customStyle="1" w:styleId="findhit">
    <w:name w:val="findhit"/>
    <w:basedOn w:val="DefaultParagraphFont"/>
    <w:rsid w:val="00FF70F1"/>
  </w:style>
  <w:style w:type="character" w:styleId="FootnoteReference">
    <w:name w:val="footnote reference"/>
    <w:rsid w:val="005011FC"/>
    <w:rPr>
      <w:vertAlign w:val="superscript"/>
    </w:rPr>
  </w:style>
  <w:style w:type="paragraph" w:styleId="FootnoteText">
    <w:name w:val="footnote text"/>
    <w:basedOn w:val="Normal"/>
    <w:link w:val="FootnoteTextChar"/>
    <w:uiPriority w:val="99"/>
    <w:semiHidden/>
    <w:unhideWhenUsed/>
    <w:rsid w:val="00D75C71"/>
    <w:rPr>
      <w:sz w:val="20"/>
    </w:rPr>
  </w:style>
  <w:style w:type="character" w:customStyle="1" w:styleId="FootnoteTextChar">
    <w:name w:val="Footnote Text Char"/>
    <w:basedOn w:val="DefaultParagraphFont"/>
    <w:link w:val="FootnoteText"/>
    <w:uiPriority w:val="99"/>
    <w:semiHidden/>
    <w:rsid w:val="00D75C71"/>
    <w:rPr>
      <w:rFonts w:ascii="Arial" w:eastAsia="Calibri" w:hAnsi="Arial" w:cs="Arial"/>
      <w:color w:val="26262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4163">
      <w:bodyDiv w:val="1"/>
      <w:marLeft w:val="0"/>
      <w:marRight w:val="0"/>
      <w:marTop w:val="0"/>
      <w:marBottom w:val="0"/>
      <w:divBdr>
        <w:top w:val="none" w:sz="0" w:space="0" w:color="auto"/>
        <w:left w:val="none" w:sz="0" w:space="0" w:color="auto"/>
        <w:bottom w:val="none" w:sz="0" w:space="0" w:color="auto"/>
        <w:right w:val="none" w:sz="0" w:space="0" w:color="auto"/>
      </w:divBdr>
    </w:div>
    <w:div w:id="163209536">
      <w:bodyDiv w:val="1"/>
      <w:marLeft w:val="0"/>
      <w:marRight w:val="0"/>
      <w:marTop w:val="0"/>
      <w:marBottom w:val="0"/>
      <w:divBdr>
        <w:top w:val="none" w:sz="0" w:space="0" w:color="auto"/>
        <w:left w:val="none" w:sz="0" w:space="0" w:color="auto"/>
        <w:bottom w:val="none" w:sz="0" w:space="0" w:color="auto"/>
        <w:right w:val="none" w:sz="0" w:space="0" w:color="auto"/>
      </w:divBdr>
    </w:div>
    <w:div w:id="395781212">
      <w:bodyDiv w:val="1"/>
      <w:marLeft w:val="0"/>
      <w:marRight w:val="0"/>
      <w:marTop w:val="0"/>
      <w:marBottom w:val="0"/>
      <w:divBdr>
        <w:top w:val="none" w:sz="0" w:space="0" w:color="auto"/>
        <w:left w:val="none" w:sz="0" w:space="0" w:color="auto"/>
        <w:bottom w:val="none" w:sz="0" w:space="0" w:color="auto"/>
        <w:right w:val="none" w:sz="0" w:space="0" w:color="auto"/>
      </w:divBdr>
    </w:div>
    <w:div w:id="417868836">
      <w:bodyDiv w:val="1"/>
      <w:marLeft w:val="0"/>
      <w:marRight w:val="0"/>
      <w:marTop w:val="0"/>
      <w:marBottom w:val="0"/>
      <w:divBdr>
        <w:top w:val="none" w:sz="0" w:space="0" w:color="auto"/>
        <w:left w:val="none" w:sz="0" w:space="0" w:color="auto"/>
        <w:bottom w:val="none" w:sz="0" w:space="0" w:color="auto"/>
        <w:right w:val="none" w:sz="0" w:space="0" w:color="auto"/>
      </w:divBdr>
    </w:div>
    <w:div w:id="1059523791">
      <w:bodyDiv w:val="1"/>
      <w:marLeft w:val="0"/>
      <w:marRight w:val="0"/>
      <w:marTop w:val="0"/>
      <w:marBottom w:val="0"/>
      <w:divBdr>
        <w:top w:val="none" w:sz="0" w:space="0" w:color="auto"/>
        <w:left w:val="none" w:sz="0" w:space="0" w:color="auto"/>
        <w:bottom w:val="none" w:sz="0" w:space="0" w:color="auto"/>
        <w:right w:val="none" w:sz="0" w:space="0" w:color="auto"/>
      </w:divBdr>
    </w:div>
    <w:div w:id="1064793016">
      <w:bodyDiv w:val="1"/>
      <w:marLeft w:val="0"/>
      <w:marRight w:val="0"/>
      <w:marTop w:val="0"/>
      <w:marBottom w:val="0"/>
      <w:divBdr>
        <w:top w:val="none" w:sz="0" w:space="0" w:color="auto"/>
        <w:left w:val="none" w:sz="0" w:space="0" w:color="auto"/>
        <w:bottom w:val="none" w:sz="0" w:space="0" w:color="auto"/>
        <w:right w:val="none" w:sz="0" w:space="0" w:color="auto"/>
      </w:divBdr>
    </w:div>
    <w:div w:id="1139492107">
      <w:bodyDiv w:val="1"/>
      <w:marLeft w:val="0"/>
      <w:marRight w:val="0"/>
      <w:marTop w:val="0"/>
      <w:marBottom w:val="0"/>
      <w:divBdr>
        <w:top w:val="none" w:sz="0" w:space="0" w:color="auto"/>
        <w:left w:val="none" w:sz="0" w:space="0" w:color="auto"/>
        <w:bottom w:val="none" w:sz="0" w:space="0" w:color="auto"/>
        <w:right w:val="none" w:sz="0" w:space="0" w:color="auto"/>
      </w:divBdr>
    </w:div>
    <w:div w:id="1203831265">
      <w:bodyDiv w:val="1"/>
      <w:marLeft w:val="0"/>
      <w:marRight w:val="0"/>
      <w:marTop w:val="0"/>
      <w:marBottom w:val="0"/>
      <w:divBdr>
        <w:top w:val="none" w:sz="0" w:space="0" w:color="auto"/>
        <w:left w:val="none" w:sz="0" w:space="0" w:color="auto"/>
        <w:bottom w:val="none" w:sz="0" w:space="0" w:color="auto"/>
        <w:right w:val="none" w:sz="0" w:space="0" w:color="auto"/>
      </w:divBdr>
    </w:div>
    <w:div w:id="1466579734">
      <w:bodyDiv w:val="1"/>
      <w:marLeft w:val="0"/>
      <w:marRight w:val="0"/>
      <w:marTop w:val="0"/>
      <w:marBottom w:val="0"/>
      <w:divBdr>
        <w:top w:val="none" w:sz="0" w:space="0" w:color="auto"/>
        <w:left w:val="none" w:sz="0" w:space="0" w:color="auto"/>
        <w:bottom w:val="none" w:sz="0" w:space="0" w:color="auto"/>
        <w:right w:val="none" w:sz="0" w:space="0" w:color="auto"/>
      </w:divBdr>
    </w:div>
    <w:div w:id="1655522724">
      <w:bodyDiv w:val="1"/>
      <w:marLeft w:val="0"/>
      <w:marRight w:val="0"/>
      <w:marTop w:val="0"/>
      <w:marBottom w:val="0"/>
      <w:divBdr>
        <w:top w:val="none" w:sz="0" w:space="0" w:color="auto"/>
        <w:left w:val="none" w:sz="0" w:space="0" w:color="auto"/>
        <w:bottom w:val="none" w:sz="0" w:space="0" w:color="auto"/>
        <w:right w:val="none" w:sz="0" w:space="0" w:color="auto"/>
      </w:divBdr>
    </w:div>
    <w:div w:id="1719159395">
      <w:bodyDiv w:val="1"/>
      <w:marLeft w:val="0"/>
      <w:marRight w:val="0"/>
      <w:marTop w:val="0"/>
      <w:marBottom w:val="0"/>
      <w:divBdr>
        <w:top w:val="none" w:sz="0" w:space="0" w:color="auto"/>
        <w:left w:val="none" w:sz="0" w:space="0" w:color="auto"/>
        <w:bottom w:val="none" w:sz="0" w:space="0" w:color="auto"/>
        <w:right w:val="none" w:sz="0" w:space="0" w:color="auto"/>
      </w:divBdr>
    </w:div>
    <w:div w:id="1796175163">
      <w:bodyDiv w:val="1"/>
      <w:marLeft w:val="0"/>
      <w:marRight w:val="0"/>
      <w:marTop w:val="0"/>
      <w:marBottom w:val="0"/>
      <w:divBdr>
        <w:top w:val="none" w:sz="0" w:space="0" w:color="auto"/>
        <w:left w:val="none" w:sz="0" w:space="0" w:color="auto"/>
        <w:bottom w:val="none" w:sz="0" w:space="0" w:color="auto"/>
        <w:right w:val="none" w:sz="0" w:space="0" w:color="auto"/>
      </w:divBdr>
    </w:div>
    <w:div w:id="2037926416">
      <w:bodyDiv w:val="1"/>
      <w:marLeft w:val="0"/>
      <w:marRight w:val="0"/>
      <w:marTop w:val="0"/>
      <w:marBottom w:val="0"/>
      <w:divBdr>
        <w:top w:val="none" w:sz="0" w:space="0" w:color="auto"/>
        <w:left w:val="none" w:sz="0" w:space="0" w:color="auto"/>
        <w:bottom w:val="none" w:sz="0" w:space="0" w:color="auto"/>
        <w:right w:val="none" w:sz="0" w:space="0" w:color="auto"/>
      </w:divBdr>
    </w:div>
    <w:div w:id="204066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lkirk.gov.uk/services/council-democracy/policies-strategies/corporate-risk.aspx" TargetMode="External"/><Relationship Id="rId18" Type="http://schemas.openxmlformats.org/officeDocument/2006/relationships/hyperlink" Target="https://www.falkirk.gov.uk/coins/submissiondocuments.asp?submissionid=21675"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bing.com/ck/a?!&amp;&amp;p=34e90da7728c39e8JmltdHM9MTcyMTY5MjgwMCZpZ3VpZD0zOWQxZTVhNy1mYTNmLTY4NmUtM2Y5My1mN2VjZmUzZjZlM2EmaW5zaWQ9NTIwNg&amp;ptn=3&amp;ver=2&amp;hsh=3&amp;fclid=39d1e5a7-fa3f-686e-3f93-f7ecfe3f6e3a&amp;psq=global+risk+report+2024&amp;u=a1aHR0cHM6Ly93d3cud2Vmb3J1bS5vcmcvcHVibGljYXRpb25zL2dsb2JhbC1yaXNrcy1yZXBvcnQtMjAyNC8&amp;ntb=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falkirk.gov.uk/services/council-democracy/policies-strategies/corporate-risk.aspx"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s://www.falkirk.gov.uk/services/council-democracy/policies-strategies/corporate-risk.aspx" TargetMode="External"/><Relationship Id="rId20" Type="http://schemas.openxmlformats.org/officeDocument/2006/relationships/hyperlink" Target="https://www.bing.com/ck/a?!&amp;&amp;p=e28099fe3494c4ecJmltdHM9MTcyMTY5MjgwMCZpZ3VpZD0zOWQxZTVhNy1mYTNmLTY4NmUtM2Y5My1mN2VjZmUzZjZlM2EmaW5zaWQ9NTIwMA&amp;ptn=3&amp;ver=2&amp;hsh=3&amp;fclid=39d1e5a7-fa3f-686e-3f93-f7ecfe3f6e3a&amp;psq=audit+scotland+national+reports+local+government&amp;u=a1aHR0cHM6Ly9hdWRpdC5zY290L3B1YmxpY2F0aW9ucy9sb2NhbC1nb3Zlcm5tZW50LWluLXNjb3RsYW5kLW92ZXJ2aWV3LTIwMjM&amp;ntb=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falkirk.gov.uk/services/council-democracy/policies-strategies/corporate-risk.aspx" TargetMode="External"/><Relationship Id="rId23" Type="http://schemas.openxmlformats.org/officeDocument/2006/relationships/hyperlink" Target="https://www.falkirk.gov.uk/services/council-democracy/policies-strategies/corporate-risk.asp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falkirk.gov.uk/coins/submissiondocuments.asp?submissionid=2176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kirk.gov.uk/coins/viewSelectedDocument.asp?c=e%97%9Dc%90q%7D%90" TargetMode="External"/><Relationship Id="rId22" Type="http://schemas.openxmlformats.org/officeDocument/2006/relationships/hyperlink" Target="https://www.falkirk.gov.uk/services/council-democracy/policies-strategies/corporate-risk.aspx" TargetMode="External"/><Relationship Id="rId27" Type="http://schemas.microsoft.com/office/2018/08/relationships/commentsExtensible" Target="commentsExtensi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24" ma:contentTypeDescription="Create a new document." ma:contentTypeScope="" ma:versionID="677bc366d947d3f4bd792f79a998f4c5">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67e4ea518cacd670d37ee77921a76d41"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Signed" minOccurs="0"/>
                <xsd:element ref="ns2:ReporttoDTIB"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Signed" ma:index="28" nillable="true" ma:displayName="Signed" ma:format="Dropdown" ma:internalName="Signed">
      <xsd:simpleType>
        <xsd:restriction base="dms:Choice">
          <xsd:enumeration value="Yes"/>
          <xsd:enumeration value="No"/>
          <xsd:enumeration value="project started before agreements"/>
          <xsd:enumeration value="project not started"/>
          <xsd:enumeration value="Digital"/>
        </xsd:restriction>
      </xsd:simpleType>
    </xsd:element>
    <xsd:element name="ReporttoDTIB" ma:index="29" nillable="true" ma:displayName="Report to DTIB" ma:format="DateOnly" ma:internalName="ReporttoDTIB">
      <xsd:simpleType>
        <xsd:restriction base="dms:DateTim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2c3af4-7a9a-4ea7-a9dd-5ca742d82ec7" xsi:nil="true"/>
    <ReporttoDTIB xmlns="fc78463e-d5b0-4fd8-abb1-e1eb3572d92c" xsi:nil="true"/>
    <Info xmlns="fc78463e-d5b0-4fd8-abb1-e1eb3572d92c" xsi:nil="true"/>
    <Source xmlns="fc78463e-d5b0-4fd8-abb1-e1eb3572d92c" xsi:nil="true"/>
    <Signed xmlns="fc78463e-d5b0-4fd8-abb1-e1eb3572d92c" xsi:nil="true"/>
    <lcf76f155ced4ddcb4097134ff3c332f xmlns="fc78463e-d5b0-4fd8-abb1-e1eb3572d92c">
      <Terms xmlns="http://schemas.microsoft.com/office/infopath/2007/PartnerControls"/>
    </lcf76f155ced4ddcb4097134ff3c332f>
    <_Flow_SignoffStatus xmlns="fc78463e-d5b0-4fd8-abb1-e1eb3572d92c"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924A94-26C9-4D32-8C28-90675F7A6084}">
  <ds:schemaRefs>
    <ds:schemaRef ds:uri="http://schemas.microsoft.com/sharepoint/v3/contenttype/forms"/>
  </ds:schemaRefs>
</ds:datastoreItem>
</file>

<file path=customXml/itemProps3.xml><?xml version="1.0" encoding="utf-8"?>
<ds:datastoreItem xmlns:ds="http://schemas.openxmlformats.org/officeDocument/2006/customXml" ds:itemID="{AFE83DC5-6720-48C6-A2D4-91488BBB3409}"/>
</file>

<file path=customXml/itemProps4.xml><?xml version="1.0" encoding="utf-8"?>
<ds:datastoreItem xmlns:ds="http://schemas.openxmlformats.org/officeDocument/2006/customXml" ds:itemID="{7BCC9581-4A16-4EE9-8B08-92B4090009ED}">
  <ds:schemaRefs>
    <ds:schemaRef ds:uri="http://www.w3.org/XML/1998/namespace"/>
    <ds:schemaRef ds:uri="http://schemas.microsoft.com/office/2006/documentManagement/types"/>
    <ds:schemaRef ds:uri="7d79fd1c-f852-4dcf-8a76-1c24437fe22e"/>
    <ds:schemaRef ds:uri="http://purl.org/dc/dcmitype/"/>
    <ds:schemaRef ds:uri="008194ee-09ad-4d2d-9e1b-edb63087c84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3E37C187-10A1-468F-A591-FACB526D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Communications
Update</vt:lpstr>
    </vt:vector>
  </TitlesOfParts>
  <Company/>
  <LinksUpToDate>false</LinksUpToDate>
  <CharactersWithSpaces>17229</CharactersWithSpaces>
  <SharedDoc>false</SharedDoc>
  <HLinks>
    <vt:vector size="144" baseType="variant">
      <vt:variant>
        <vt:i4>7536674</vt:i4>
      </vt:variant>
      <vt:variant>
        <vt:i4>102</vt:i4>
      </vt:variant>
      <vt:variant>
        <vt:i4>0</vt:i4>
      </vt:variant>
      <vt:variant>
        <vt:i4>5</vt:i4>
      </vt:variant>
      <vt:variant>
        <vt:lpwstr>https://www.falkirk.gov.uk/coins/submissiondocuments.asp?submissionid=19358</vt:lpwstr>
      </vt:variant>
      <vt:variant>
        <vt:lpwstr/>
      </vt:variant>
      <vt:variant>
        <vt:i4>7340066</vt:i4>
      </vt:variant>
      <vt:variant>
        <vt:i4>99</vt:i4>
      </vt:variant>
      <vt:variant>
        <vt:i4>0</vt:i4>
      </vt:variant>
      <vt:variant>
        <vt:i4>5</vt:i4>
      </vt:variant>
      <vt:variant>
        <vt:lpwstr>https://www.falkirk.gov.uk/coins/submissiondocuments.asp?submissionid=19364</vt:lpwstr>
      </vt:variant>
      <vt:variant>
        <vt:lpwstr/>
      </vt:variant>
      <vt:variant>
        <vt:i4>7405616</vt:i4>
      </vt:variant>
      <vt:variant>
        <vt:i4>96</vt:i4>
      </vt:variant>
      <vt:variant>
        <vt:i4>0</vt:i4>
      </vt:variant>
      <vt:variant>
        <vt:i4>5</vt:i4>
      </vt:variant>
      <vt:variant>
        <vt:lpwstr>https://www.falkirk.gov.uk/coins/viewSelectedDocument.asp?c=e%97%9Dc%90kz%8A</vt:lpwstr>
      </vt:variant>
      <vt:variant>
        <vt:lpwstr>page=25&amp;zoom=100,93,855</vt:lpwstr>
      </vt:variant>
      <vt:variant>
        <vt:i4>8060961</vt:i4>
      </vt:variant>
      <vt:variant>
        <vt:i4>93</vt:i4>
      </vt:variant>
      <vt:variant>
        <vt:i4>0</vt:i4>
      </vt:variant>
      <vt:variant>
        <vt:i4>5</vt:i4>
      </vt:variant>
      <vt:variant>
        <vt:lpwstr>https://www.falkirk.gov.uk/coins/submissiondocuments.asp?submissionid=20348</vt:lpwstr>
      </vt:variant>
      <vt:variant>
        <vt:lpwstr/>
      </vt:variant>
      <vt:variant>
        <vt:i4>7405602</vt:i4>
      </vt:variant>
      <vt:variant>
        <vt:i4>90</vt:i4>
      </vt:variant>
      <vt:variant>
        <vt:i4>0</vt:i4>
      </vt:variant>
      <vt:variant>
        <vt:i4>5</vt:i4>
      </vt:variant>
      <vt:variant>
        <vt:lpwstr>https://www.falkirk.gov.uk/coins/submissiondocuments.asp?submissionid=19370</vt:lpwstr>
      </vt:variant>
      <vt:variant>
        <vt:lpwstr/>
      </vt:variant>
      <vt:variant>
        <vt:i4>393303</vt:i4>
      </vt:variant>
      <vt:variant>
        <vt:i4>87</vt:i4>
      </vt:variant>
      <vt:variant>
        <vt:i4>0</vt:i4>
      </vt:variant>
      <vt:variant>
        <vt:i4>5</vt:i4>
      </vt:variant>
      <vt:variant>
        <vt:lpwstr>https://nhsforthvalley.com/wp-content/uploads/2022/07/NHS-Forth-Valley-Board-Meeting-Papers-26-July-2022.pdf</vt:lpwstr>
      </vt:variant>
      <vt:variant>
        <vt:lpwstr/>
      </vt:variant>
      <vt:variant>
        <vt:i4>7536674</vt:i4>
      </vt:variant>
      <vt:variant>
        <vt:i4>84</vt:i4>
      </vt:variant>
      <vt:variant>
        <vt:i4>0</vt:i4>
      </vt:variant>
      <vt:variant>
        <vt:i4>5</vt:i4>
      </vt:variant>
      <vt:variant>
        <vt:lpwstr>https://www.falkirk.gov.uk/coins/submissiondocuments.asp?submissionid=19358</vt:lpwstr>
      </vt:variant>
      <vt:variant>
        <vt:lpwstr/>
      </vt:variant>
      <vt:variant>
        <vt:i4>8060961</vt:i4>
      </vt:variant>
      <vt:variant>
        <vt:i4>81</vt:i4>
      </vt:variant>
      <vt:variant>
        <vt:i4>0</vt:i4>
      </vt:variant>
      <vt:variant>
        <vt:i4>5</vt:i4>
      </vt:variant>
      <vt:variant>
        <vt:lpwstr>https://www.falkirk.gov.uk/coins/submissiondocuments.asp?submissionid=20348</vt:lpwstr>
      </vt:variant>
      <vt:variant>
        <vt:lpwstr/>
      </vt:variant>
      <vt:variant>
        <vt:i4>393303</vt:i4>
      </vt:variant>
      <vt:variant>
        <vt:i4>78</vt:i4>
      </vt:variant>
      <vt:variant>
        <vt:i4>0</vt:i4>
      </vt:variant>
      <vt:variant>
        <vt:i4>5</vt:i4>
      </vt:variant>
      <vt:variant>
        <vt:lpwstr>https://nhsforthvalley.com/wp-content/uploads/2022/07/NHS-Forth-Valley-Board-Meeting-Papers-26-July-2022.pdf</vt:lpwstr>
      </vt:variant>
      <vt:variant>
        <vt:lpwstr/>
      </vt:variant>
      <vt:variant>
        <vt:i4>6094861</vt:i4>
      </vt:variant>
      <vt:variant>
        <vt:i4>75</vt:i4>
      </vt:variant>
      <vt:variant>
        <vt:i4>0</vt:i4>
      </vt:variant>
      <vt:variant>
        <vt:i4>5</vt:i4>
      </vt:variant>
      <vt:variant>
        <vt:lpwstr>https://www.falkirk.gov.uk/coins/viewDoc.asp?c=e%97%9Db%96l%7E%87</vt:lpwstr>
      </vt:variant>
      <vt:variant>
        <vt:lpwstr/>
      </vt:variant>
      <vt:variant>
        <vt:i4>7340066</vt:i4>
      </vt:variant>
      <vt:variant>
        <vt:i4>72</vt:i4>
      </vt:variant>
      <vt:variant>
        <vt:i4>0</vt:i4>
      </vt:variant>
      <vt:variant>
        <vt:i4>5</vt:i4>
      </vt:variant>
      <vt:variant>
        <vt:lpwstr>https://www.falkirk.gov.uk/coins/submissiondocuments.asp?submissionid=19364</vt:lpwstr>
      </vt:variant>
      <vt:variant>
        <vt:lpwstr/>
      </vt:variant>
      <vt:variant>
        <vt:i4>5308479</vt:i4>
      </vt:variant>
      <vt:variant>
        <vt:i4>69</vt:i4>
      </vt:variant>
      <vt:variant>
        <vt:i4>0</vt:i4>
      </vt:variant>
      <vt:variant>
        <vt:i4>5</vt:i4>
      </vt:variant>
      <vt:variant>
        <vt:lpwstr>mailto:Sara.Mackenzie@nhs.scot</vt:lpwstr>
      </vt:variant>
      <vt:variant>
        <vt:lpwstr/>
      </vt:variant>
      <vt:variant>
        <vt:i4>8126532</vt:i4>
      </vt:variant>
      <vt:variant>
        <vt:i4>66</vt:i4>
      </vt:variant>
      <vt:variant>
        <vt:i4>0</vt:i4>
      </vt:variant>
      <vt:variant>
        <vt:i4>5</vt:i4>
      </vt:variant>
      <vt:variant>
        <vt:lpwstr>mailto:Hugh.coyle@falkirk.gov.uk</vt:lpwstr>
      </vt:variant>
      <vt:variant>
        <vt:lpwstr/>
      </vt:variant>
      <vt:variant>
        <vt:i4>5898352</vt:i4>
      </vt:variant>
      <vt:variant>
        <vt:i4>63</vt:i4>
      </vt:variant>
      <vt:variant>
        <vt:i4>0</vt:i4>
      </vt:variant>
      <vt:variant>
        <vt:i4>5</vt:i4>
      </vt:variant>
      <vt:variant>
        <vt:lpwstr>mailto:Steven.kirkwood@falkirk.gov.uk</vt:lpwstr>
      </vt:variant>
      <vt:variant>
        <vt:lpwstr/>
      </vt:variant>
      <vt:variant>
        <vt:i4>1900601</vt:i4>
      </vt:variant>
      <vt:variant>
        <vt:i4>56</vt:i4>
      </vt:variant>
      <vt:variant>
        <vt:i4>0</vt:i4>
      </vt:variant>
      <vt:variant>
        <vt:i4>5</vt:i4>
      </vt:variant>
      <vt:variant>
        <vt:lpwstr/>
      </vt:variant>
      <vt:variant>
        <vt:lpwstr>_Toc118289803</vt:lpwstr>
      </vt:variant>
      <vt:variant>
        <vt:i4>1900601</vt:i4>
      </vt:variant>
      <vt:variant>
        <vt:i4>50</vt:i4>
      </vt:variant>
      <vt:variant>
        <vt:i4>0</vt:i4>
      </vt:variant>
      <vt:variant>
        <vt:i4>5</vt:i4>
      </vt:variant>
      <vt:variant>
        <vt:lpwstr/>
      </vt:variant>
      <vt:variant>
        <vt:lpwstr>_Toc118289801</vt:lpwstr>
      </vt:variant>
      <vt:variant>
        <vt:i4>1310774</vt:i4>
      </vt:variant>
      <vt:variant>
        <vt:i4>44</vt:i4>
      </vt:variant>
      <vt:variant>
        <vt:i4>0</vt:i4>
      </vt:variant>
      <vt:variant>
        <vt:i4>5</vt:i4>
      </vt:variant>
      <vt:variant>
        <vt:lpwstr/>
      </vt:variant>
      <vt:variant>
        <vt:lpwstr>_Toc118289799</vt:lpwstr>
      </vt:variant>
      <vt:variant>
        <vt:i4>1310774</vt:i4>
      </vt:variant>
      <vt:variant>
        <vt:i4>38</vt:i4>
      </vt:variant>
      <vt:variant>
        <vt:i4>0</vt:i4>
      </vt:variant>
      <vt:variant>
        <vt:i4>5</vt:i4>
      </vt:variant>
      <vt:variant>
        <vt:lpwstr/>
      </vt:variant>
      <vt:variant>
        <vt:lpwstr>_Toc118289797</vt:lpwstr>
      </vt:variant>
      <vt:variant>
        <vt:i4>1310774</vt:i4>
      </vt:variant>
      <vt:variant>
        <vt:i4>32</vt:i4>
      </vt:variant>
      <vt:variant>
        <vt:i4>0</vt:i4>
      </vt:variant>
      <vt:variant>
        <vt:i4>5</vt:i4>
      </vt:variant>
      <vt:variant>
        <vt:lpwstr/>
      </vt:variant>
      <vt:variant>
        <vt:lpwstr>_Toc118289791</vt:lpwstr>
      </vt:variant>
      <vt:variant>
        <vt:i4>1310774</vt:i4>
      </vt:variant>
      <vt:variant>
        <vt:i4>26</vt:i4>
      </vt:variant>
      <vt:variant>
        <vt:i4>0</vt:i4>
      </vt:variant>
      <vt:variant>
        <vt:i4>5</vt:i4>
      </vt:variant>
      <vt:variant>
        <vt:lpwstr/>
      </vt:variant>
      <vt:variant>
        <vt:lpwstr>_Toc118289790</vt:lpwstr>
      </vt:variant>
      <vt:variant>
        <vt:i4>1376310</vt:i4>
      </vt:variant>
      <vt:variant>
        <vt:i4>20</vt:i4>
      </vt:variant>
      <vt:variant>
        <vt:i4>0</vt:i4>
      </vt:variant>
      <vt:variant>
        <vt:i4>5</vt:i4>
      </vt:variant>
      <vt:variant>
        <vt:lpwstr/>
      </vt:variant>
      <vt:variant>
        <vt:lpwstr>_Toc118289789</vt:lpwstr>
      </vt:variant>
      <vt:variant>
        <vt:i4>1376310</vt:i4>
      </vt:variant>
      <vt:variant>
        <vt:i4>14</vt:i4>
      </vt:variant>
      <vt:variant>
        <vt:i4>0</vt:i4>
      </vt:variant>
      <vt:variant>
        <vt:i4>5</vt:i4>
      </vt:variant>
      <vt:variant>
        <vt:lpwstr/>
      </vt:variant>
      <vt:variant>
        <vt:lpwstr>_Toc118289787</vt:lpwstr>
      </vt:variant>
      <vt:variant>
        <vt:i4>1376310</vt:i4>
      </vt:variant>
      <vt:variant>
        <vt:i4>8</vt:i4>
      </vt:variant>
      <vt:variant>
        <vt:i4>0</vt:i4>
      </vt:variant>
      <vt:variant>
        <vt:i4>5</vt:i4>
      </vt:variant>
      <vt:variant>
        <vt:lpwstr/>
      </vt:variant>
      <vt:variant>
        <vt:lpwstr>_Toc118289786</vt:lpwstr>
      </vt:variant>
      <vt:variant>
        <vt:i4>1376310</vt:i4>
      </vt:variant>
      <vt:variant>
        <vt:i4>2</vt:i4>
      </vt:variant>
      <vt:variant>
        <vt:i4>0</vt:i4>
      </vt:variant>
      <vt:variant>
        <vt:i4>5</vt:i4>
      </vt:variant>
      <vt:variant>
        <vt:lpwstr/>
      </vt:variant>
      <vt:variant>
        <vt:lpwstr>_Toc118289785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Update</dc:title>
  <dc:subject/>
  <dc:creator>Paul Surgenor</dc:creator>
  <cp:keywords/>
  <dc:description/>
  <cp:lastModifiedBy>Hugh Coyle</cp:lastModifiedBy>
  <cp:revision>4</cp:revision>
  <dcterms:created xsi:type="dcterms:W3CDTF">2024-10-10T15:44:00Z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