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C18288" w14:textId="17E775AF" w:rsidR="00E259FD" w:rsidRDefault="00917C08" w:rsidP="00917C08">
      <w:pPr>
        <w:jc w:val="center"/>
        <w:rPr>
          <w:rFonts w:ascii="Arial" w:hAnsi="Arial"/>
          <w:b/>
          <w:sz w:val="32"/>
          <w:lang w:val="en-GB"/>
        </w:rPr>
      </w:pPr>
      <w:r>
        <w:rPr>
          <w:noProof/>
        </w:rPr>
        <w:drawing>
          <wp:inline distT="0" distB="0" distL="0" distR="0" wp14:anchorId="259A88CD" wp14:editId="11E81F5F">
            <wp:extent cx="1303213" cy="942975"/>
            <wp:effectExtent l="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23370" cy="957560"/>
                    </a:xfrm>
                    <a:prstGeom prst="rect">
                      <a:avLst/>
                    </a:prstGeom>
                    <a:noFill/>
                    <a:ln>
                      <a:noFill/>
                    </a:ln>
                  </pic:spPr>
                </pic:pic>
              </a:graphicData>
            </a:graphic>
          </wp:inline>
        </w:drawing>
      </w:r>
    </w:p>
    <w:p w14:paraId="060D4F5D" w14:textId="1B0A4E41" w:rsidR="00E259FD" w:rsidRDefault="00013199" w:rsidP="00917C08">
      <w:pPr>
        <w:jc w:val="center"/>
        <w:rPr>
          <w:rFonts w:ascii="Arial" w:hAnsi="Arial"/>
          <w:b/>
          <w:sz w:val="32"/>
          <w:lang w:val="en-GB"/>
        </w:rPr>
      </w:pPr>
      <w:r>
        <w:rPr>
          <w:rFonts w:ascii="Arial" w:hAnsi="Arial"/>
          <w:b/>
          <w:noProof/>
          <w:sz w:val="32"/>
          <w:lang w:val="en-GB"/>
        </w:rPr>
        <w:t xml:space="preserve"> </w:t>
      </w:r>
    </w:p>
    <w:p w14:paraId="47AA4B52" w14:textId="77777777" w:rsidR="00E259FD" w:rsidRPr="00917C08" w:rsidRDefault="00E259FD" w:rsidP="00E259FD">
      <w:pPr>
        <w:jc w:val="center"/>
        <w:rPr>
          <w:rFonts w:ascii="Arial" w:hAnsi="Arial"/>
          <w:b/>
          <w:sz w:val="32"/>
          <w:szCs w:val="32"/>
          <w:lang w:val="en-GB"/>
        </w:rPr>
      </w:pPr>
      <w:r w:rsidRPr="00917C08">
        <w:rPr>
          <w:rFonts w:ascii="Arial" w:hAnsi="Arial"/>
          <w:b/>
          <w:sz w:val="32"/>
          <w:szCs w:val="32"/>
          <w:lang w:val="en-GB"/>
        </w:rPr>
        <w:t>Food &amp; Safety</w:t>
      </w:r>
    </w:p>
    <w:p w14:paraId="2B988562" w14:textId="77777777" w:rsidR="00E259FD" w:rsidRPr="00917C08" w:rsidRDefault="00E259FD" w:rsidP="00DE395A">
      <w:pPr>
        <w:rPr>
          <w:rFonts w:ascii="Arial" w:hAnsi="Arial"/>
          <w:b/>
          <w:sz w:val="32"/>
          <w:szCs w:val="32"/>
          <w:lang w:val="en-GB"/>
        </w:rPr>
      </w:pPr>
    </w:p>
    <w:p w14:paraId="1541BC66" w14:textId="61D97DAC" w:rsidR="00E259FD" w:rsidRPr="00917C08" w:rsidRDefault="007664FC" w:rsidP="00E259FD">
      <w:pPr>
        <w:jc w:val="center"/>
        <w:rPr>
          <w:rFonts w:ascii="Arial" w:hAnsi="Arial"/>
          <w:b/>
          <w:sz w:val="32"/>
          <w:szCs w:val="32"/>
          <w:lang w:val="en-GB"/>
        </w:rPr>
      </w:pPr>
      <w:r>
        <w:rPr>
          <w:rFonts w:ascii="Arial" w:hAnsi="Arial"/>
          <w:b/>
          <w:sz w:val="32"/>
          <w:szCs w:val="32"/>
          <w:lang w:val="en-GB"/>
        </w:rPr>
        <w:t xml:space="preserve">Food </w:t>
      </w:r>
      <w:r w:rsidR="00E259FD" w:rsidRPr="00917C08">
        <w:rPr>
          <w:rFonts w:ascii="Arial" w:hAnsi="Arial"/>
          <w:b/>
          <w:sz w:val="32"/>
          <w:szCs w:val="32"/>
          <w:lang w:val="en-GB"/>
        </w:rPr>
        <w:t>Sampling Policy</w:t>
      </w:r>
    </w:p>
    <w:p w14:paraId="23CD5E25" w14:textId="77777777" w:rsidR="00FB23F7" w:rsidRDefault="00FB23F7" w:rsidP="00F37110">
      <w:pPr>
        <w:tabs>
          <w:tab w:val="left" w:pos="5430"/>
        </w:tabs>
        <w:rPr>
          <w:rFonts w:ascii="Arial" w:hAnsi="Arial"/>
          <w:b/>
          <w:sz w:val="32"/>
          <w:lang w:val="en-GB"/>
        </w:rPr>
      </w:pPr>
    </w:p>
    <w:p w14:paraId="18A184C4" w14:textId="77777777" w:rsidR="00DE395A" w:rsidRPr="00F37110" w:rsidRDefault="00F37110" w:rsidP="00F37110">
      <w:pPr>
        <w:tabs>
          <w:tab w:val="left" w:pos="5430"/>
        </w:tabs>
      </w:pPr>
      <w:r>
        <w:tab/>
      </w:r>
    </w:p>
    <w:p w14:paraId="076F0615" w14:textId="50295246" w:rsidR="0042721A" w:rsidRPr="00FB23F7" w:rsidRDefault="0042721A" w:rsidP="00DE395A">
      <w:pPr>
        <w:pStyle w:val="BodyText"/>
        <w:jc w:val="left"/>
        <w:rPr>
          <w:sz w:val="22"/>
          <w:szCs w:val="22"/>
        </w:rPr>
      </w:pPr>
      <w:r w:rsidRPr="00FB23F7">
        <w:rPr>
          <w:sz w:val="22"/>
          <w:szCs w:val="22"/>
        </w:rPr>
        <w:t xml:space="preserve">This Policy outlines the Council’s approach to the conduct of </w:t>
      </w:r>
      <w:r w:rsidR="00013199">
        <w:rPr>
          <w:sz w:val="22"/>
          <w:szCs w:val="22"/>
        </w:rPr>
        <w:t xml:space="preserve">food </w:t>
      </w:r>
      <w:r w:rsidRPr="00FB23F7">
        <w:rPr>
          <w:sz w:val="22"/>
          <w:szCs w:val="22"/>
        </w:rPr>
        <w:t xml:space="preserve">sampling activity by officers within </w:t>
      </w:r>
      <w:r w:rsidR="00A347A2" w:rsidRPr="00FB23F7">
        <w:rPr>
          <w:sz w:val="22"/>
          <w:szCs w:val="22"/>
        </w:rPr>
        <w:t xml:space="preserve">the </w:t>
      </w:r>
      <w:r w:rsidRPr="00FB23F7">
        <w:rPr>
          <w:sz w:val="22"/>
          <w:szCs w:val="22"/>
        </w:rPr>
        <w:t>Food &amp; Safety</w:t>
      </w:r>
      <w:r w:rsidR="00A347A2" w:rsidRPr="00FB23F7">
        <w:rPr>
          <w:sz w:val="22"/>
          <w:szCs w:val="22"/>
        </w:rPr>
        <w:t xml:space="preserve"> team</w:t>
      </w:r>
      <w:r w:rsidR="0076299D" w:rsidRPr="00FB23F7">
        <w:rPr>
          <w:sz w:val="22"/>
          <w:szCs w:val="22"/>
        </w:rPr>
        <w:t>.</w:t>
      </w:r>
    </w:p>
    <w:p w14:paraId="494913EB" w14:textId="77777777" w:rsidR="0042721A" w:rsidRPr="00FB23F7" w:rsidRDefault="0042721A" w:rsidP="00DE395A">
      <w:pPr>
        <w:pStyle w:val="BodyText"/>
        <w:jc w:val="left"/>
        <w:rPr>
          <w:sz w:val="22"/>
          <w:szCs w:val="22"/>
        </w:rPr>
      </w:pPr>
    </w:p>
    <w:p w14:paraId="138DF25E" w14:textId="77777777" w:rsidR="00DE395A" w:rsidRPr="00FB23F7" w:rsidRDefault="0042721A" w:rsidP="00DE395A">
      <w:pPr>
        <w:pStyle w:val="BodyText"/>
        <w:jc w:val="left"/>
        <w:rPr>
          <w:sz w:val="22"/>
          <w:szCs w:val="22"/>
        </w:rPr>
      </w:pPr>
      <w:r w:rsidRPr="00FB23F7">
        <w:rPr>
          <w:sz w:val="22"/>
          <w:szCs w:val="22"/>
        </w:rPr>
        <w:t>S</w:t>
      </w:r>
      <w:r w:rsidR="00DE395A" w:rsidRPr="00FB23F7">
        <w:rPr>
          <w:sz w:val="22"/>
          <w:szCs w:val="22"/>
        </w:rPr>
        <w:t xml:space="preserve">uitably qualified and authorised officers of </w:t>
      </w:r>
      <w:r w:rsidRPr="00FB23F7">
        <w:rPr>
          <w:sz w:val="22"/>
          <w:szCs w:val="22"/>
        </w:rPr>
        <w:t xml:space="preserve">the Council’s </w:t>
      </w:r>
      <w:r w:rsidR="00DE395A" w:rsidRPr="00FB23F7">
        <w:rPr>
          <w:sz w:val="22"/>
          <w:szCs w:val="22"/>
        </w:rPr>
        <w:t xml:space="preserve">Food &amp; Safety </w:t>
      </w:r>
      <w:r w:rsidR="00A347A2" w:rsidRPr="00FB23F7">
        <w:rPr>
          <w:sz w:val="22"/>
          <w:szCs w:val="22"/>
        </w:rPr>
        <w:t>team</w:t>
      </w:r>
      <w:r w:rsidR="00DE395A" w:rsidRPr="00FB23F7">
        <w:rPr>
          <w:sz w:val="22"/>
          <w:szCs w:val="22"/>
        </w:rPr>
        <w:t xml:space="preserve"> will conduct formal sampling of foodstuffs</w:t>
      </w:r>
      <w:r w:rsidRPr="00FB23F7">
        <w:rPr>
          <w:sz w:val="22"/>
          <w:szCs w:val="22"/>
        </w:rPr>
        <w:t>, where necessary,</w:t>
      </w:r>
      <w:r w:rsidR="00DE395A" w:rsidRPr="00FB23F7">
        <w:rPr>
          <w:sz w:val="22"/>
          <w:szCs w:val="22"/>
        </w:rPr>
        <w:t xml:space="preserve"> for analysis and/or examination.   </w:t>
      </w:r>
    </w:p>
    <w:p w14:paraId="4797CB60" w14:textId="77777777" w:rsidR="00DE395A" w:rsidRPr="00FB23F7" w:rsidRDefault="00DE395A" w:rsidP="00DE395A">
      <w:pPr>
        <w:pStyle w:val="BodyText"/>
        <w:jc w:val="left"/>
        <w:rPr>
          <w:sz w:val="22"/>
          <w:szCs w:val="22"/>
        </w:rPr>
      </w:pPr>
    </w:p>
    <w:p w14:paraId="256209CD" w14:textId="7568D8B2" w:rsidR="00DE395A" w:rsidRPr="00FB23F7" w:rsidRDefault="00DE395A" w:rsidP="00DE395A">
      <w:pPr>
        <w:pStyle w:val="BodyText"/>
        <w:jc w:val="left"/>
        <w:rPr>
          <w:sz w:val="22"/>
          <w:szCs w:val="22"/>
        </w:rPr>
      </w:pPr>
      <w:r w:rsidRPr="00FB23F7">
        <w:rPr>
          <w:sz w:val="22"/>
          <w:szCs w:val="22"/>
        </w:rPr>
        <w:t xml:space="preserve">Informal samples, i.e. samples where an adverse report following analysis/examination would not result in formal action, need not be taken by an officer as determined above.  The officer </w:t>
      </w:r>
      <w:r w:rsidR="0042721A" w:rsidRPr="00FB23F7">
        <w:rPr>
          <w:sz w:val="22"/>
          <w:szCs w:val="22"/>
        </w:rPr>
        <w:t>will</w:t>
      </w:r>
      <w:r w:rsidR="00F37110" w:rsidRPr="00FB23F7">
        <w:rPr>
          <w:sz w:val="22"/>
          <w:szCs w:val="22"/>
        </w:rPr>
        <w:t xml:space="preserve"> however</w:t>
      </w:r>
      <w:r w:rsidRPr="00FB23F7">
        <w:rPr>
          <w:sz w:val="22"/>
          <w:szCs w:val="22"/>
        </w:rPr>
        <w:t xml:space="preserve"> be appointed by the Authority. </w:t>
      </w:r>
    </w:p>
    <w:p w14:paraId="159E044C" w14:textId="24057A87" w:rsidR="00DE395A" w:rsidRPr="00FB23F7" w:rsidRDefault="00DE395A" w:rsidP="00DE395A">
      <w:pPr>
        <w:pStyle w:val="BodyText"/>
        <w:jc w:val="left"/>
        <w:rPr>
          <w:sz w:val="22"/>
          <w:szCs w:val="22"/>
        </w:rPr>
      </w:pPr>
    </w:p>
    <w:p w14:paraId="6A179978" w14:textId="3ACFFBBB" w:rsidR="00DE395A" w:rsidRPr="00FB23F7" w:rsidRDefault="00DE395A" w:rsidP="00DE395A">
      <w:pPr>
        <w:pStyle w:val="BodyText"/>
        <w:jc w:val="left"/>
        <w:rPr>
          <w:sz w:val="22"/>
          <w:szCs w:val="22"/>
        </w:rPr>
      </w:pPr>
      <w:r w:rsidRPr="00FB23F7">
        <w:rPr>
          <w:sz w:val="22"/>
          <w:szCs w:val="22"/>
        </w:rPr>
        <w:t xml:space="preserve">Sampling activity will embrace </w:t>
      </w:r>
      <w:r w:rsidR="00917C08">
        <w:rPr>
          <w:sz w:val="22"/>
          <w:szCs w:val="22"/>
        </w:rPr>
        <w:t>safety</w:t>
      </w:r>
      <w:r w:rsidRPr="00FB23F7">
        <w:rPr>
          <w:sz w:val="22"/>
          <w:szCs w:val="22"/>
        </w:rPr>
        <w:t>, composition, labelling, presentation and advertising of food</w:t>
      </w:r>
      <w:r w:rsidR="00917C08">
        <w:rPr>
          <w:sz w:val="22"/>
          <w:szCs w:val="22"/>
        </w:rPr>
        <w:t>.</w:t>
      </w:r>
    </w:p>
    <w:p w14:paraId="266783D6" w14:textId="77777777" w:rsidR="00DE395A" w:rsidRPr="00FB23F7" w:rsidRDefault="00DE395A" w:rsidP="00DE395A">
      <w:pPr>
        <w:pStyle w:val="BodyText"/>
        <w:jc w:val="left"/>
        <w:rPr>
          <w:sz w:val="22"/>
          <w:szCs w:val="22"/>
        </w:rPr>
      </w:pPr>
    </w:p>
    <w:p w14:paraId="6C396A27" w14:textId="77777777" w:rsidR="00DE395A" w:rsidRPr="00FB23F7" w:rsidRDefault="00DE395A" w:rsidP="00DE395A">
      <w:pPr>
        <w:pStyle w:val="BodyText3"/>
        <w:jc w:val="left"/>
        <w:rPr>
          <w:b w:val="0"/>
          <w:szCs w:val="22"/>
        </w:rPr>
      </w:pPr>
      <w:r w:rsidRPr="00FB23F7">
        <w:rPr>
          <w:b w:val="0"/>
          <w:szCs w:val="22"/>
        </w:rPr>
        <w:t>Analysis of samples shall only be undertaken by appropriately qualified</w:t>
      </w:r>
      <w:r w:rsidR="0076299D" w:rsidRPr="00FB23F7">
        <w:rPr>
          <w:b w:val="0"/>
          <w:szCs w:val="22"/>
        </w:rPr>
        <w:t xml:space="preserve"> and designated food examiners and </w:t>
      </w:r>
      <w:r w:rsidRPr="00FB23F7">
        <w:rPr>
          <w:b w:val="0"/>
          <w:szCs w:val="22"/>
        </w:rPr>
        <w:t xml:space="preserve">Public Analysts. </w:t>
      </w:r>
    </w:p>
    <w:p w14:paraId="71AA49F5" w14:textId="77777777" w:rsidR="00DE395A" w:rsidRPr="00FB23F7" w:rsidRDefault="00DE395A" w:rsidP="00DE395A">
      <w:pPr>
        <w:pStyle w:val="BodyText3"/>
        <w:jc w:val="left"/>
        <w:rPr>
          <w:b w:val="0"/>
          <w:szCs w:val="22"/>
        </w:rPr>
      </w:pPr>
    </w:p>
    <w:p w14:paraId="2CE43C82" w14:textId="05F69F5F" w:rsidR="00DE395A" w:rsidRPr="00FB23F7" w:rsidRDefault="00DE395A" w:rsidP="00DE395A">
      <w:pPr>
        <w:pStyle w:val="BodyText3"/>
        <w:jc w:val="left"/>
        <w:rPr>
          <w:b w:val="0"/>
          <w:szCs w:val="22"/>
        </w:rPr>
      </w:pPr>
      <w:r w:rsidRPr="00FB23F7">
        <w:rPr>
          <w:b w:val="0"/>
          <w:szCs w:val="22"/>
        </w:rPr>
        <w:t xml:space="preserve">In the interests of best value and service efficiency, the Service shall seek to ensure that the range of analytical and supportive advisory services required in respect of its food </w:t>
      </w:r>
      <w:r w:rsidR="007664FC">
        <w:rPr>
          <w:b w:val="0"/>
          <w:szCs w:val="22"/>
        </w:rPr>
        <w:t>law</w:t>
      </w:r>
      <w:r w:rsidRPr="00FB23F7">
        <w:rPr>
          <w:b w:val="0"/>
          <w:szCs w:val="22"/>
        </w:rPr>
        <w:t xml:space="preserve"> activities are supplied by one contractor, who shall have satisfied the Service of their suitable qualifications, facilities and experience to deliver quality services.   The </w:t>
      </w:r>
      <w:r w:rsidR="0042721A" w:rsidRPr="00FB23F7">
        <w:rPr>
          <w:b w:val="0"/>
          <w:szCs w:val="22"/>
        </w:rPr>
        <w:t>selection of contractor takes</w:t>
      </w:r>
      <w:r w:rsidRPr="00FB23F7">
        <w:rPr>
          <w:b w:val="0"/>
          <w:szCs w:val="22"/>
        </w:rPr>
        <w:t xml:space="preserve"> cognisance of </w:t>
      </w:r>
      <w:r w:rsidR="0042721A" w:rsidRPr="00FB23F7">
        <w:rPr>
          <w:b w:val="0"/>
          <w:szCs w:val="22"/>
        </w:rPr>
        <w:t>price and</w:t>
      </w:r>
      <w:r w:rsidRPr="00FB23F7">
        <w:rPr>
          <w:b w:val="0"/>
          <w:szCs w:val="22"/>
        </w:rPr>
        <w:t xml:space="preserve"> qualitative indicators.</w:t>
      </w:r>
      <w:r w:rsidR="00F37110" w:rsidRPr="00FB23F7">
        <w:rPr>
          <w:b w:val="0"/>
          <w:szCs w:val="22"/>
        </w:rPr>
        <w:t xml:space="preserve">  The current contract is with Glasgow Scientific Services.</w:t>
      </w:r>
    </w:p>
    <w:p w14:paraId="4AF20E7C" w14:textId="77777777" w:rsidR="00DE395A" w:rsidRPr="00FB23F7" w:rsidRDefault="00DE395A" w:rsidP="00DE395A">
      <w:pPr>
        <w:pStyle w:val="BodyText3"/>
        <w:jc w:val="left"/>
        <w:rPr>
          <w:b w:val="0"/>
          <w:szCs w:val="22"/>
        </w:rPr>
      </w:pPr>
    </w:p>
    <w:p w14:paraId="43227AEC" w14:textId="0F359D2F" w:rsidR="00DE395A" w:rsidRPr="00FB23F7" w:rsidRDefault="00DE395A" w:rsidP="00DE395A">
      <w:pPr>
        <w:rPr>
          <w:rFonts w:ascii="Arial" w:hAnsi="Arial"/>
          <w:sz w:val="22"/>
          <w:szCs w:val="22"/>
        </w:rPr>
      </w:pPr>
      <w:r w:rsidRPr="00FB23F7">
        <w:rPr>
          <w:rFonts w:ascii="Arial" w:hAnsi="Arial"/>
          <w:sz w:val="22"/>
          <w:szCs w:val="22"/>
        </w:rPr>
        <w:t xml:space="preserve">A </w:t>
      </w:r>
      <w:r w:rsidR="007664FC">
        <w:rPr>
          <w:rFonts w:ascii="Arial" w:hAnsi="Arial"/>
          <w:sz w:val="22"/>
          <w:szCs w:val="22"/>
        </w:rPr>
        <w:t xml:space="preserve">Food </w:t>
      </w:r>
      <w:r w:rsidRPr="00FB23F7">
        <w:rPr>
          <w:rFonts w:ascii="Arial" w:hAnsi="Arial"/>
          <w:sz w:val="22"/>
          <w:szCs w:val="22"/>
        </w:rPr>
        <w:t xml:space="preserve">Sampling Programme will be </w:t>
      </w:r>
      <w:proofErr w:type="gramStart"/>
      <w:r w:rsidRPr="00FB23F7">
        <w:rPr>
          <w:rFonts w:ascii="Arial" w:hAnsi="Arial"/>
          <w:sz w:val="22"/>
          <w:szCs w:val="22"/>
        </w:rPr>
        <w:t>prepared</w:t>
      </w:r>
      <w:proofErr w:type="gramEnd"/>
      <w:r w:rsidRPr="00FB23F7">
        <w:rPr>
          <w:rFonts w:ascii="Arial" w:hAnsi="Arial"/>
          <w:sz w:val="22"/>
          <w:szCs w:val="22"/>
        </w:rPr>
        <w:t xml:space="preserve"> and targets set annually in collab</w:t>
      </w:r>
      <w:r w:rsidR="0076299D" w:rsidRPr="00FB23F7">
        <w:rPr>
          <w:rFonts w:ascii="Arial" w:hAnsi="Arial"/>
          <w:sz w:val="22"/>
          <w:szCs w:val="22"/>
        </w:rPr>
        <w:t xml:space="preserve">oration with the food examiner and </w:t>
      </w:r>
      <w:r w:rsidRPr="00FB23F7">
        <w:rPr>
          <w:rFonts w:ascii="Arial" w:hAnsi="Arial"/>
          <w:sz w:val="22"/>
          <w:szCs w:val="22"/>
        </w:rPr>
        <w:t>public analyst</w:t>
      </w:r>
      <w:r w:rsidR="0076299D" w:rsidRPr="00FB23F7">
        <w:rPr>
          <w:rFonts w:ascii="Arial" w:hAnsi="Arial"/>
          <w:sz w:val="22"/>
          <w:szCs w:val="22"/>
        </w:rPr>
        <w:t>.</w:t>
      </w:r>
      <w:r w:rsidRPr="00FB23F7">
        <w:rPr>
          <w:rFonts w:ascii="Arial" w:hAnsi="Arial"/>
          <w:sz w:val="22"/>
          <w:szCs w:val="22"/>
        </w:rPr>
        <w:t xml:space="preserve">  The Sampling Programme </w:t>
      </w:r>
      <w:r w:rsidR="0042721A" w:rsidRPr="00FB23F7">
        <w:rPr>
          <w:rFonts w:ascii="Arial" w:hAnsi="Arial"/>
          <w:sz w:val="22"/>
          <w:szCs w:val="22"/>
        </w:rPr>
        <w:t>will</w:t>
      </w:r>
      <w:r w:rsidRPr="00FB23F7">
        <w:rPr>
          <w:rFonts w:ascii="Arial" w:hAnsi="Arial"/>
          <w:sz w:val="22"/>
          <w:szCs w:val="22"/>
        </w:rPr>
        <w:t xml:space="preserve"> not be published. </w:t>
      </w:r>
    </w:p>
    <w:p w14:paraId="1CD27B57" w14:textId="77777777" w:rsidR="00DE395A" w:rsidRPr="00FB23F7" w:rsidRDefault="00DE395A" w:rsidP="00DE395A">
      <w:pPr>
        <w:rPr>
          <w:rFonts w:ascii="Arial" w:hAnsi="Arial"/>
          <w:sz w:val="22"/>
          <w:szCs w:val="22"/>
        </w:rPr>
      </w:pPr>
    </w:p>
    <w:p w14:paraId="51D276A5" w14:textId="7BB7AB2B" w:rsidR="00DE395A" w:rsidRPr="00FB23F7" w:rsidRDefault="00F37110" w:rsidP="00DE395A">
      <w:pPr>
        <w:jc w:val="both"/>
        <w:rPr>
          <w:rFonts w:ascii="Arial" w:hAnsi="Arial"/>
          <w:sz w:val="22"/>
          <w:szCs w:val="22"/>
        </w:rPr>
      </w:pPr>
      <w:r w:rsidRPr="00FB23F7">
        <w:rPr>
          <w:rFonts w:ascii="Arial" w:hAnsi="Arial"/>
          <w:sz w:val="22"/>
          <w:szCs w:val="22"/>
        </w:rPr>
        <w:t xml:space="preserve">The </w:t>
      </w:r>
      <w:r w:rsidR="007664FC">
        <w:rPr>
          <w:rFonts w:ascii="Arial" w:hAnsi="Arial"/>
          <w:sz w:val="22"/>
          <w:szCs w:val="22"/>
        </w:rPr>
        <w:t xml:space="preserve">Food </w:t>
      </w:r>
      <w:r w:rsidRPr="00FB23F7">
        <w:rPr>
          <w:rFonts w:ascii="Arial" w:hAnsi="Arial"/>
          <w:sz w:val="22"/>
          <w:szCs w:val="22"/>
        </w:rPr>
        <w:t>Sampling P</w:t>
      </w:r>
      <w:r w:rsidR="00DE395A" w:rsidRPr="00FB23F7">
        <w:rPr>
          <w:rFonts w:ascii="Arial" w:hAnsi="Arial"/>
          <w:sz w:val="22"/>
          <w:szCs w:val="22"/>
        </w:rPr>
        <w:t>rogramme will allow a capacity for sample submission following complaints, enquiries or any investigations required.  The numbers associated with this type of sample cannot be planned but they shall be incorporated into the target number to be achieved.</w:t>
      </w:r>
    </w:p>
    <w:p w14:paraId="121E8112" w14:textId="77777777" w:rsidR="00DE395A" w:rsidRPr="00FB23F7" w:rsidRDefault="00DE395A" w:rsidP="00DE395A">
      <w:pPr>
        <w:rPr>
          <w:rFonts w:ascii="Arial" w:hAnsi="Arial"/>
          <w:sz w:val="22"/>
          <w:szCs w:val="22"/>
        </w:rPr>
      </w:pPr>
    </w:p>
    <w:p w14:paraId="374A3CF2" w14:textId="77777777" w:rsidR="00DE395A" w:rsidRPr="00FB23F7" w:rsidRDefault="00DE395A" w:rsidP="00DE395A">
      <w:pPr>
        <w:rPr>
          <w:rFonts w:ascii="Arial" w:hAnsi="Arial"/>
          <w:sz w:val="22"/>
          <w:szCs w:val="22"/>
        </w:rPr>
      </w:pPr>
      <w:r w:rsidRPr="00FB23F7">
        <w:rPr>
          <w:rFonts w:ascii="Arial" w:hAnsi="Arial"/>
          <w:sz w:val="22"/>
          <w:szCs w:val="22"/>
        </w:rPr>
        <w:t>Sampling activity will be directed to locally identified priorities which may be informed by business numbers and types located in the area, any relevant external survey data, home authority obligations, patterns of local complaints or other reactive reason.</w:t>
      </w:r>
    </w:p>
    <w:p w14:paraId="3610EC9A" w14:textId="77777777" w:rsidR="00DE395A" w:rsidRPr="00FB23F7" w:rsidRDefault="00DE395A" w:rsidP="00DE395A">
      <w:pPr>
        <w:rPr>
          <w:rFonts w:ascii="Arial" w:hAnsi="Arial"/>
          <w:sz w:val="22"/>
          <w:szCs w:val="22"/>
        </w:rPr>
      </w:pPr>
    </w:p>
    <w:p w14:paraId="42519DDF" w14:textId="77777777" w:rsidR="00DE395A" w:rsidRPr="00FB23F7" w:rsidRDefault="00DE395A" w:rsidP="00DE395A">
      <w:pPr>
        <w:pStyle w:val="BodyText2"/>
        <w:jc w:val="left"/>
        <w:rPr>
          <w:sz w:val="22"/>
          <w:szCs w:val="22"/>
        </w:rPr>
      </w:pPr>
      <w:r w:rsidRPr="00FB23F7">
        <w:rPr>
          <w:sz w:val="22"/>
          <w:szCs w:val="22"/>
        </w:rPr>
        <w:t xml:space="preserve">A significant part of food sampling activity will be directed to local surveys and surveillance.   </w:t>
      </w:r>
    </w:p>
    <w:p w14:paraId="50224A41" w14:textId="77777777" w:rsidR="00F37110" w:rsidRPr="00FB23F7" w:rsidRDefault="00F37110" w:rsidP="00DE395A">
      <w:pPr>
        <w:pStyle w:val="BodyText2"/>
        <w:jc w:val="left"/>
        <w:rPr>
          <w:b/>
          <w:sz w:val="22"/>
          <w:szCs w:val="22"/>
        </w:rPr>
      </w:pPr>
    </w:p>
    <w:p w14:paraId="4E877C13" w14:textId="77777777" w:rsidR="00DE395A" w:rsidRPr="00FB23F7" w:rsidRDefault="00DE395A" w:rsidP="00DE395A">
      <w:pPr>
        <w:rPr>
          <w:rFonts w:ascii="Arial" w:hAnsi="Arial"/>
          <w:sz w:val="22"/>
          <w:szCs w:val="22"/>
        </w:rPr>
      </w:pPr>
      <w:r w:rsidRPr="00FB23F7">
        <w:rPr>
          <w:rFonts w:ascii="Arial" w:hAnsi="Arial"/>
          <w:sz w:val="22"/>
          <w:szCs w:val="22"/>
        </w:rPr>
        <w:lastRenderedPageBreak/>
        <w:t>The Service is also committed to participation in national or regional surveys and surveillance exercises organised each year by the Food Standards Scotland, Scottish Food</w:t>
      </w:r>
      <w:r w:rsidRPr="00FB23F7">
        <w:rPr>
          <w:rFonts w:ascii="Arial" w:hAnsi="Arial"/>
          <w:b/>
          <w:sz w:val="22"/>
          <w:szCs w:val="22"/>
        </w:rPr>
        <w:t xml:space="preserve"> </w:t>
      </w:r>
      <w:r w:rsidRPr="00FB23F7">
        <w:rPr>
          <w:rFonts w:ascii="Arial" w:hAnsi="Arial"/>
          <w:sz w:val="22"/>
          <w:szCs w:val="22"/>
        </w:rPr>
        <w:t xml:space="preserve">Enforcement Liaison Committee and the East of Scotland Food Liaison Group.   </w:t>
      </w:r>
    </w:p>
    <w:p w14:paraId="3EAFC449" w14:textId="77777777" w:rsidR="00DE395A" w:rsidRPr="00FB23F7" w:rsidRDefault="00DE395A" w:rsidP="00DE395A">
      <w:pPr>
        <w:rPr>
          <w:rFonts w:ascii="Arial" w:hAnsi="Arial"/>
          <w:sz w:val="22"/>
          <w:szCs w:val="22"/>
        </w:rPr>
      </w:pPr>
    </w:p>
    <w:p w14:paraId="780A071F" w14:textId="11D8B862" w:rsidR="00DE395A" w:rsidRPr="00FB23F7" w:rsidRDefault="00DE395A" w:rsidP="00DE395A">
      <w:pPr>
        <w:rPr>
          <w:rFonts w:ascii="Arial" w:hAnsi="Arial"/>
          <w:sz w:val="22"/>
          <w:szCs w:val="22"/>
        </w:rPr>
      </w:pPr>
      <w:r w:rsidRPr="00FB23F7">
        <w:rPr>
          <w:rFonts w:ascii="Arial" w:hAnsi="Arial"/>
          <w:sz w:val="22"/>
          <w:szCs w:val="22"/>
        </w:rPr>
        <w:t xml:space="preserve">Adequate resources must be provided to allow </w:t>
      </w:r>
      <w:r w:rsidR="00F37110" w:rsidRPr="00FB23F7">
        <w:rPr>
          <w:rFonts w:ascii="Arial" w:hAnsi="Arial"/>
          <w:sz w:val="22"/>
          <w:szCs w:val="22"/>
        </w:rPr>
        <w:t xml:space="preserve">the Authority to carry out the requirements of the </w:t>
      </w:r>
      <w:r w:rsidR="007664FC">
        <w:rPr>
          <w:rFonts w:ascii="Arial" w:hAnsi="Arial"/>
          <w:sz w:val="22"/>
          <w:szCs w:val="22"/>
        </w:rPr>
        <w:t xml:space="preserve">Food </w:t>
      </w:r>
      <w:r w:rsidR="00F37110" w:rsidRPr="00FB23F7">
        <w:rPr>
          <w:rFonts w:ascii="Arial" w:hAnsi="Arial"/>
          <w:sz w:val="22"/>
          <w:szCs w:val="22"/>
        </w:rPr>
        <w:t>S</w:t>
      </w:r>
      <w:r w:rsidRPr="00FB23F7">
        <w:rPr>
          <w:rFonts w:ascii="Arial" w:hAnsi="Arial"/>
          <w:sz w:val="22"/>
          <w:szCs w:val="22"/>
        </w:rPr>
        <w:t xml:space="preserve">ampling </w:t>
      </w:r>
      <w:r w:rsidR="00F37110" w:rsidRPr="00FB23F7">
        <w:rPr>
          <w:rFonts w:ascii="Arial" w:hAnsi="Arial"/>
          <w:sz w:val="22"/>
          <w:szCs w:val="22"/>
        </w:rPr>
        <w:t>Programme</w:t>
      </w:r>
      <w:r w:rsidRPr="00FB23F7">
        <w:rPr>
          <w:rFonts w:ascii="Arial" w:hAnsi="Arial"/>
          <w:sz w:val="22"/>
          <w:szCs w:val="22"/>
        </w:rPr>
        <w:t>.</w:t>
      </w:r>
    </w:p>
    <w:p w14:paraId="33C031F7" w14:textId="77777777" w:rsidR="00DE395A" w:rsidRPr="00FB23F7" w:rsidRDefault="00DE395A" w:rsidP="00DE395A">
      <w:pPr>
        <w:rPr>
          <w:rFonts w:ascii="Arial" w:hAnsi="Arial"/>
          <w:sz w:val="22"/>
          <w:szCs w:val="22"/>
        </w:rPr>
      </w:pPr>
    </w:p>
    <w:p w14:paraId="6F499463" w14:textId="7789868C" w:rsidR="00DE395A" w:rsidRDefault="00DE395A" w:rsidP="00DE395A">
      <w:pPr>
        <w:rPr>
          <w:rFonts w:ascii="Arial" w:hAnsi="Arial"/>
          <w:sz w:val="22"/>
          <w:szCs w:val="22"/>
        </w:rPr>
      </w:pPr>
      <w:r w:rsidRPr="00FB23F7">
        <w:rPr>
          <w:rFonts w:ascii="Arial" w:hAnsi="Arial"/>
          <w:sz w:val="22"/>
          <w:szCs w:val="22"/>
        </w:rPr>
        <w:t xml:space="preserve">Officers shall ensure that sampling </w:t>
      </w:r>
      <w:r w:rsidR="00C4288F">
        <w:rPr>
          <w:rFonts w:ascii="Arial" w:hAnsi="Arial"/>
          <w:sz w:val="22"/>
          <w:szCs w:val="22"/>
        </w:rPr>
        <w:t xml:space="preserve">complies </w:t>
      </w:r>
      <w:r w:rsidRPr="00FB23F7">
        <w:rPr>
          <w:rFonts w:ascii="Arial" w:hAnsi="Arial"/>
          <w:sz w:val="22"/>
          <w:szCs w:val="22"/>
        </w:rPr>
        <w:t xml:space="preserve">with relevant </w:t>
      </w:r>
      <w:r w:rsidR="00C4288F">
        <w:rPr>
          <w:rFonts w:ascii="Arial" w:hAnsi="Arial"/>
          <w:sz w:val="22"/>
          <w:szCs w:val="22"/>
        </w:rPr>
        <w:t xml:space="preserve">statutory requirements, Food Law </w:t>
      </w:r>
      <w:r w:rsidRPr="00FB23F7">
        <w:rPr>
          <w:rFonts w:ascii="Arial" w:hAnsi="Arial"/>
          <w:sz w:val="22"/>
          <w:szCs w:val="22"/>
        </w:rPr>
        <w:t>Code</w:t>
      </w:r>
      <w:r w:rsidR="00C4288F">
        <w:rPr>
          <w:rFonts w:ascii="Arial" w:hAnsi="Arial"/>
          <w:sz w:val="22"/>
          <w:szCs w:val="22"/>
        </w:rPr>
        <w:t xml:space="preserve"> of Practice</w:t>
      </w:r>
      <w:r w:rsidRPr="00FB23F7">
        <w:rPr>
          <w:rFonts w:ascii="Arial" w:hAnsi="Arial"/>
          <w:sz w:val="22"/>
          <w:szCs w:val="22"/>
        </w:rPr>
        <w:t xml:space="preserve">, </w:t>
      </w:r>
      <w:r w:rsidR="0042721A" w:rsidRPr="00FB23F7">
        <w:rPr>
          <w:rFonts w:ascii="Arial" w:hAnsi="Arial"/>
          <w:sz w:val="22"/>
          <w:szCs w:val="22"/>
        </w:rPr>
        <w:t>guidance</w:t>
      </w:r>
      <w:r w:rsidRPr="00FB23F7">
        <w:rPr>
          <w:rFonts w:ascii="Arial" w:hAnsi="Arial"/>
          <w:sz w:val="22"/>
          <w:szCs w:val="22"/>
        </w:rPr>
        <w:t xml:space="preserve"> </w:t>
      </w:r>
      <w:r w:rsidR="00C4288F">
        <w:rPr>
          <w:rFonts w:ascii="Arial" w:hAnsi="Arial"/>
          <w:sz w:val="22"/>
          <w:szCs w:val="22"/>
        </w:rPr>
        <w:t>and/</w:t>
      </w:r>
      <w:r w:rsidRPr="00FB23F7">
        <w:rPr>
          <w:rFonts w:ascii="Arial" w:hAnsi="Arial"/>
          <w:sz w:val="22"/>
          <w:szCs w:val="22"/>
        </w:rPr>
        <w:t>or defined survey protocols.   If necessary, officers will contact the relevant laboratory or analyst to identify and agree appropriate sampling procedures.</w:t>
      </w:r>
    </w:p>
    <w:p w14:paraId="74CE9AFD" w14:textId="77777777" w:rsidR="00DE395A" w:rsidRPr="00FB23F7" w:rsidRDefault="00DE395A" w:rsidP="00DE395A">
      <w:pPr>
        <w:rPr>
          <w:rFonts w:ascii="Arial" w:hAnsi="Arial"/>
          <w:sz w:val="22"/>
          <w:szCs w:val="22"/>
        </w:rPr>
      </w:pPr>
    </w:p>
    <w:p w14:paraId="351CD405" w14:textId="77777777" w:rsidR="00DE395A" w:rsidRPr="00FB23F7" w:rsidRDefault="00DE395A" w:rsidP="00DE395A">
      <w:pPr>
        <w:pStyle w:val="BodyText3"/>
        <w:jc w:val="left"/>
        <w:rPr>
          <w:szCs w:val="22"/>
        </w:rPr>
      </w:pPr>
    </w:p>
    <w:p w14:paraId="2DFEA440" w14:textId="77777777" w:rsidR="00DE395A" w:rsidRPr="00FB23F7" w:rsidRDefault="00F37110" w:rsidP="00DE395A">
      <w:pPr>
        <w:pStyle w:val="BodyText3"/>
        <w:jc w:val="left"/>
        <w:rPr>
          <w:szCs w:val="22"/>
        </w:rPr>
      </w:pPr>
      <w:r w:rsidRPr="00FB23F7">
        <w:rPr>
          <w:szCs w:val="22"/>
        </w:rPr>
        <w:t>Action following an unsatisfactory sample result</w:t>
      </w:r>
    </w:p>
    <w:p w14:paraId="1CEFFC53" w14:textId="77777777" w:rsidR="00F37110" w:rsidRPr="00FB23F7" w:rsidRDefault="00F37110" w:rsidP="00DE395A">
      <w:pPr>
        <w:pStyle w:val="BodyText3"/>
        <w:jc w:val="left"/>
        <w:rPr>
          <w:szCs w:val="22"/>
        </w:rPr>
      </w:pPr>
    </w:p>
    <w:p w14:paraId="3DAFC429" w14:textId="696CED6C" w:rsidR="00DE395A" w:rsidRPr="00FB23F7" w:rsidRDefault="00DE395A" w:rsidP="00DE395A">
      <w:pPr>
        <w:pStyle w:val="BodyText3"/>
        <w:jc w:val="left"/>
        <w:rPr>
          <w:b w:val="0"/>
          <w:szCs w:val="22"/>
        </w:rPr>
      </w:pPr>
      <w:r w:rsidRPr="00FB23F7">
        <w:rPr>
          <w:b w:val="0"/>
          <w:szCs w:val="22"/>
        </w:rPr>
        <w:t xml:space="preserve">Officers </w:t>
      </w:r>
      <w:r w:rsidR="0042721A" w:rsidRPr="00FB23F7">
        <w:rPr>
          <w:b w:val="0"/>
          <w:szCs w:val="22"/>
        </w:rPr>
        <w:t>will</w:t>
      </w:r>
      <w:r w:rsidRPr="00FB23F7">
        <w:rPr>
          <w:b w:val="0"/>
          <w:szCs w:val="22"/>
        </w:rPr>
        <w:t xml:space="preserve"> discuss all </w:t>
      </w:r>
      <w:r w:rsidR="007664FC">
        <w:rPr>
          <w:b w:val="0"/>
          <w:szCs w:val="22"/>
        </w:rPr>
        <w:t xml:space="preserve">borderline and </w:t>
      </w:r>
      <w:r w:rsidR="00366E67" w:rsidRPr="00FB23F7">
        <w:rPr>
          <w:b w:val="0"/>
          <w:szCs w:val="22"/>
        </w:rPr>
        <w:t xml:space="preserve">unsatisfactory </w:t>
      </w:r>
      <w:r w:rsidR="0042721A" w:rsidRPr="00FB23F7">
        <w:rPr>
          <w:b w:val="0"/>
          <w:szCs w:val="22"/>
        </w:rPr>
        <w:t xml:space="preserve">sample </w:t>
      </w:r>
      <w:r w:rsidR="00366E67" w:rsidRPr="00FB23F7">
        <w:rPr>
          <w:b w:val="0"/>
          <w:szCs w:val="22"/>
        </w:rPr>
        <w:t>results</w:t>
      </w:r>
      <w:r w:rsidRPr="00FB23F7">
        <w:rPr>
          <w:b w:val="0"/>
          <w:szCs w:val="22"/>
        </w:rPr>
        <w:t xml:space="preserve"> with the </w:t>
      </w:r>
      <w:r w:rsidR="00366E67" w:rsidRPr="00FB23F7">
        <w:rPr>
          <w:b w:val="0"/>
          <w:szCs w:val="22"/>
        </w:rPr>
        <w:t>Food &amp; Safety Co-ordinator</w:t>
      </w:r>
      <w:r w:rsidR="00F6430D" w:rsidRPr="00FB23F7">
        <w:rPr>
          <w:b w:val="0"/>
          <w:szCs w:val="22"/>
        </w:rPr>
        <w:t>.</w:t>
      </w:r>
      <w:r w:rsidRPr="00FB23F7">
        <w:rPr>
          <w:b w:val="0"/>
          <w:szCs w:val="22"/>
        </w:rPr>
        <w:t xml:space="preserve"> </w:t>
      </w:r>
    </w:p>
    <w:p w14:paraId="1B0521BA" w14:textId="77777777" w:rsidR="00DE395A" w:rsidRPr="00FB23F7" w:rsidRDefault="00DE395A" w:rsidP="00DE395A">
      <w:pPr>
        <w:pStyle w:val="BodyText3"/>
        <w:jc w:val="left"/>
        <w:rPr>
          <w:b w:val="0"/>
          <w:szCs w:val="22"/>
        </w:rPr>
      </w:pPr>
    </w:p>
    <w:p w14:paraId="2EEBA554" w14:textId="2EEA09BA" w:rsidR="00DE395A" w:rsidRPr="00FB23F7" w:rsidRDefault="00DE395A" w:rsidP="00DE395A">
      <w:pPr>
        <w:pStyle w:val="BodyText3"/>
        <w:jc w:val="left"/>
        <w:rPr>
          <w:b w:val="0"/>
          <w:szCs w:val="22"/>
        </w:rPr>
      </w:pPr>
      <w:r w:rsidRPr="00FB23F7">
        <w:rPr>
          <w:b w:val="0"/>
          <w:szCs w:val="22"/>
        </w:rPr>
        <w:t xml:space="preserve">The most appropriate action will be assessed against individual circumstances, any centrally issued guidance, the Service’s Enforcement Policy, and any other relevant factor.   Where appropriate, advice shall be </w:t>
      </w:r>
      <w:r w:rsidR="00F6430D" w:rsidRPr="00FB23F7">
        <w:rPr>
          <w:b w:val="0"/>
          <w:szCs w:val="22"/>
        </w:rPr>
        <w:t xml:space="preserve">sought from the public analyst or </w:t>
      </w:r>
      <w:r w:rsidRPr="00FB23F7">
        <w:rPr>
          <w:b w:val="0"/>
          <w:szCs w:val="22"/>
        </w:rPr>
        <w:t>food examiner</w:t>
      </w:r>
      <w:r w:rsidR="00F6430D" w:rsidRPr="00FB23F7">
        <w:rPr>
          <w:b w:val="0"/>
          <w:szCs w:val="22"/>
        </w:rPr>
        <w:t>.</w:t>
      </w:r>
      <w:r w:rsidRPr="00FB23F7">
        <w:rPr>
          <w:b w:val="0"/>
          <w:szCs w:val="22"/>
        </w:rPr>
        <w:t xml:space="preserve">   Where appropriate, </w:t>
      </w:r>
      <w:r w:rsidR="007664FC">
        <w:rPr>
          <w:b w:val="0"/>
          <w:szCs w:val="22"/>
        </w:rPr>
        <w:t>information</w:t>
      </w:r>
      <w:r w:rsidRPr="00FB23F7">
        <w:rPr>
          <w:b w:val="0"/>
          <w:szCs w:val="22"/>
        </w:rPr>
        <w:t xml:space="preserve"> shall be requested </w:t>
      </w:r>
      <w:r w:rsidR="00C4288F">
        <w:rPr>
          <w:b w:val="0"/>
          <w:szCs w:val="22"/>
        </w:rPr>
        <w:t xml:space="preserve">from </w:t>
      </w:r>
      <w:r w:rsidRPr="00FB23F7">
        <w:rPr>
          <w:b w:val="0"/>
          <w:szCs w:val="22"/>
        </w:rPr>
        <w:t>relevant home or originating authorities.</w:t>
      </w:r>
    </w:p>
    <w:p w14:paraId="2132494E" w14:textId="77777777" w:rsidR="00DE395A" w:rsidRPr="00FB23F7" w:rsidRDefault="00DE395A" w:rsidP="00DE395A">
      <w:pPr>
        <w:pStyle w:val="BodyText3"/>
        <w:jc w:val="left"/>
        <w:rPr>
          <w:b w:val="0"/>
          <w:szCs w:val="22"/>
        </w:rPr>
      </w:pPr>
    </w:p>
    <w:p w14:paraId="2132FB3F" w14:textId="24597340" w:rsidR="00DE395A" w:rsidRPr="00FB23F7" w:rsidRDefault="00DE395A" w:rsidP="00DE395A">
      <w:pPr>
        <w:pStyle w:val="BodyText3"/>
        <w:jc w:val="left"/>
        <w:rPr>
          <w:b w:val="0"/>
          <w:szCs w:val="22"/>
        </w:rPr>
      </w:pPr>
      <w:r w:rsidRPr="00FB23F7">
        <w:rPr>
          <w:b w:val="0"/>
          <w:szCs w:val="22"/>
        </w:rPr>
        <w:t xml:space="preserve">It may be appropriate for informal sample failures to be followed up </w:t>
      </w:r>
      <w:r w:rsidR="007664FC">
        <w:rPr>
          <w:b w:val="0"/>
          <w:szCs w:val="22"/>
        </w:rPr>
        <w:t>with</w:t>
      </w:r>
      <w:r w:rsidRPr="00FB23F7">
        <w:rPr>
          <w:b w:val="0"/>
          <w:szCs w:val="22"/>
        </w:rPr>
        <w:t xml:space="preserve"> formal samples where the Service is satisfied that informal action may have little or no effect in achieving desired improvements.   </w:t>
      </w:r>
    </w:p>
    <w:p w14:paraId="3BDD656C" w14:textId="77777777" w:rsidR="00DE395A" w:rsidRPr="00FB23F7" w:rsidRDefault="00DE395A" w:rsidP="00DE395A">
      <w:pPr>
        <w:pStyle w:val="BodyText3"/>
        <w:jc w:val="left"/>
        <w:rPr>
          <w:b w:val="0"/>
          <w:szCs w:val="22"/>
        </w:rPr>
      </w:pPr>
    </w:p>
    <w:p w14:paraId="3788A94A" w14:textId="240C2AFA" w:rsidR="00DE395A" w:rsidRPr="00FB23F7" w:rsidRDefault="00DE395A" w:rsidP="00DE395A">
      <w:pPr>
        <w:pStyle w:val="BodyText3"/>
        <w:jc w:val="left"/>
        <w:rPr>
          <w:b w:val="0"/>
          <w:szCs w:val="22"/>
        </w:rPr>
      </w:pPr>
      <w:r w:rsidRPr="00FB23F7">
        <w:rPr>
          <w:b w:val="0"/>
          <w:szCs w:val="22"/>
        </w:rPr>
        <w:t xml:space="preserve">If formal samples prove unsatisfactory, circumstances should be assessed to determine </w:t>
      </w:r>
      <w:r w:rsidR="007664FC" w:rsidRPr="00FB23F7">
        <w:rPr>
          <w:b w:val="0"/>
          <w:szCs w:val="22"/>
        </w:rPr>
        <w:t>whether</w:t>
      </w:r>
      <w:r w:rsidRPr="00FB23F7">
        <w:rPr>
          <w:b w:val="0"/>
          <w:szCs w:val="22"/>
        </w:rPr>
        <w:t xml:space="preserve"> it would be appropri</w:t>
      </w:r>
      <w:r w:rsidR="00366E67" w:rsidRPr="00FB23F7">
        <w:rPr>
          <w:b w:val="0"/>
          <w:szCs w:val="22"/>
        </w:rPr>
        <w:t>ate to report the issue to the Procurator F</w:t>
      </w:r>
      <w:r w:rsidRPr="00FB23F7">
        <w:rPr>
          <w:b w:val="0"/>
          <w:szCs w:val="22"/>
        </w:rPr>
        <w:t>iscal</w:t>
      </w:r>
      <w:r w:rsidR="00366E67" w:rsidRPr="00FB23F7">
        <w:rPr>
          <w:b w:val="0"/>
          <w:szCs w:val="22"/>
        </w:rPr>
        <w:t>, having regard to the Enforcement Policy</w:t>
      </w:r>
      <w:r w:rsidRPr="00FB23F7">
        <w:rPr>
          <w:b w:val="0"/>
          <w:szCs w:val="22"/>
        </w:rPr>
        <w:t xml:space="preserve">.   </w:t>
      </w:r>
    </w:p>
    <w:p w14:paraId="10D3598C" w14:textId="77777777" w:rsidR="00DE395A" w:rsidRPr="00FB23F7" w:rsidRDefault="00DE395A" w:rsidP="00DE395A">
      <w:pPr>
        <w:pStyle w:val="BodyText3"/>
        <w:jc w:val="left"/>
        <w:rPr>
          <w:b w:val="0"/>
          <w:szCs w:val="22"/>
        </w:rPr>
      </w:pPr>
    </w:p>
    <w:p w14:paraId="171F0549" w14:textId="0D029273" w:rsidR="00DE395A" w:rsidRPr="00FB23F7" w:rsidRDefault="00DE395A" w:rsidP="00DE395A">
      <w:pPr>
        <w:pStyle w:val="BodyText3"/>
        <w:jc w:val="left"/>
        <w:rPr>
          <w:b w:val="0"/>
          <w:szCs w:val="22"/>
        </w:rPr>
      </w:pPr>
      <w:r w:rsidRPr="00FB23F7">
        <w:rPr>
          <w:b w:val="0"/>
          <w:szCs w:val="22"/>
        </w:rPr>
        <w:t xml:space="preserve">The Service shall </w:t>
      </w:r>
      <w:r w:rsidR="007664FC" w:rsidRPr="00FB23F7">
        <w:rPr>
          <w:b w:val="0"/>
          <w:szCs w:val="22"/>
        </w:rPr>
        <w:t>always</w:t>
      </w:r>
      <w:r w:rsidRPr="00FB23F7">
        <w:rPr>
          <w:b w:val="0"/>
          <w:szCs w:val="22"/>
        </w:rPr>
        <w:t xml:space="preserve"> have due regard to the public interest and protection of health.</w:t>
      </w:r>
    </w:p>
    <w:p w14:paraId="1C1A888E" w14:textId="77777777" w:rsidR="00DE395A" w:rsidRPr="00FB23F7" w:rsidRDefault="00DE395A" w:rsidP="00DE395A">
      <w:pPr>
        <w:pStyle w:val="BodyText3"/>
        <w:jc w:val="left"/>
        <w:rPr>
          <w:b w:val="0"/>
          <w:szCs w:val="22"/>
        </w:rPr>
      </w:pPr>
    </w:p>
    <w:p w14:paraId="40F56A8E" w14:textId="77777777" w:rsidR="00DE395A" w:rsidRPr="00FB23F7" w:rsidRDefault="00DE395A" w:rsidP="00DE395A">
      <w:pPr>
        <w:rPr>
          <w:rFonts w:ascii="Arial" w:hAnsi="Arial"/>
          <w:sz w:val="22"/>
          <w:szCs w:val="22"/>
          <w:lang w:val="en-GB"/>
        </w:rPr>
      </w:pPr>
    </w:p>
    <w:p w14:paraId="2205A18E" w14:textId="77777777" w:rsidR="00F37110" w:rsidRPr="00FB23F7" w:rsidRDefault="00F37110">
      <w:pPr>
        <w:rPr>
          <w:sz w:val="22"/>
          <w:szCs w:val="22"/>
        </w:rPr>
      </w:pPr>
    </w:p>
    <w:sectPr w:rsidR="00F37110" w:rsidRPr="00FB23F7">
      <w:footerReference w:type="default" r:id="rId7"/>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9CC046" w14:textId="77777777" w:rsidR="0042721A" w:rsidRDefault="0042721A" w:rsidP="00914DB6">
      <w:r>
        <w:separator/>
      </w:r>
    </w:p>
  </w:endnote>
  <w:endnote w:type="continuationSeparator" w:id="0">
    <w:p w14:paraId="78816802" w14:textId="77777777" w:rsidR="0042721A" w:rsidRDefault="0042721A" w:rsidP="00914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7979C3" w14:textId="516A9C3C" w:rsidR="0042721A" w:rsidRPr="007664FC" w:rsidRDefault="00013199">
    <w:pPr>
      <w:pStyle w:val="Footer"/>
      <w:rPr>
        <w:rFonts w:ascii="Arial" w:hAnsi="Arial" w:cs="Arial"/>
        <w:sz w:val="22"/>
        <w:szCs w:val="22"/>
        <w:lang w:val="en-GB"/>
      </w:rPr>
    </w:pPr>
    <w:r w:rsidRPr="007664FC">
      <w:rPr>
        <w:rFonts w:ascii="Arial" w:hAnsi="Arial" w:cs="Arial"/>
        <w:sz w:val="22"/>
        <w:szCs w:val="22"/>
        <w:lang w:val="en-GB"/>
      </w:rPr>
      <w:t>August 202</w:t>
    </w:r>
    <w:r w:rsidR="007664FC" w:rsidRPr="007664FC">
      <w:rPr>
        <w:rFonts w:ascii="Arial" w:hAnsi="Arial" w:cs="Arial"/>
        <w:sz w:val="22"/>
        <w:szCs w:val="22"/>
        <w:lang w:val="en-GB"/>
      </w:rPr>
      <w:t>4</w:t>
    </w:r>
    <w:r w:rsidR="0042721A" w:rsidRPr="007664FC">
      <w:rPr>
        <w:rFonts w:ascii="Arial" w:hAnsi="Arial" w:cs="Arial"/>
        <w:sz w:val="22"/>
        <w:szCs w:val="22"/>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59BFA8" w14:textId="77777777" w:rsidR="0042721A" w:rsidRDefault="0042721A" w:rsidP="00914DB6">
      <w:r>
        <w:separator/>
      </w:r>
    </w:p>
  </w:footnote>
  <w:footnote w:type="continuationSeparator" w:id="0">
    <w:p w14:paraId="2FB1D2A4" w14:textId="77777777" w:rsidR="0042721A" w:rsidRDefault="0042721A" w:rsidP="00914D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95A"/>
    <w:rsid w:val="00013199"/>
    <w:rsid w:val="0003274C"/>
    <w:rsid w:val="00194495"/>
    <w:rsid w:val="00366E67"/>
    <w:rsid w:val="0042721A"/>
    <w:rsid w:val="0076299D"/>
    <w:rsid w:val="007664FC"/>
    <w:rsid w:val="00795C2A"/>
    <w:rsid w:val="007E630F"/>
    <w:rsid w:val="00900CC4"/>
    <w:rsid w:val="00914DB6"/>
    <w:rsid w:val="00917C08"/>
    <w:rsid w:val="00940039"/>
    <w:rsid w:val="009C7415"/>
    <w:rsid w:val="009E1210"/>
    <w:rsid w:val="009F6C59"/>
    <w:rsid w:val="00A347A2"/>
    <w:rsid w:val="00C12EBB"/>
    <w:rsid w:val="00C4288F"/>
    <w:rsid w:val="00DE395A"/>
    <w:rsid w:val="00E259FD"/>
    <w:rsid w:val="00F37110"/>
    <w:rsid w:val="00F6430D"/>
    <w:rsid w:val="00FB23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24F83"/>
  <w15:docId w15:val="{13D85D4E-3536-4770-A361-64DF2BAA7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395A"/>
    <w:pPr>
      <w:spacing w:after="0" w:line="240" w:lineRule="auto"/>
    </w:pPr>
    <w:rPr>
      <w:rFonts w:ascii="Times New Roman" w:eastAsia="Times New Roman" w:hAnsi="Times New Roman" w:cs="Times New Roman"/>
      <w:sz w:val="20"/>
      <w:szCs w:val="20"/>
      <w:lang w:val="en-US" w:eastAsia="en-GB"/>
    </w:rPr>
  </w:style>
  <w:style w:type="paragraph" w:styleId="Heading1">
    <w:name w:val="heading 1"/>
    <w:basedOn w:val="Normal"/>
    <w:next w:val="Normal"/>
    <w:link w:val="Heading1Char"/>
    <w:qFormat/>
    <w:rsid w:val="00DE395A"/>
    <w:pPr>
      <w:keepNext/>
      <w:jc w:val="both"/>
      <w:outlineLvl w:val="0"/>
    </w:pPr>
    <w:rPr>
      <w:rFonts w:ascii="Arial" w:hAnsi="Arial"/>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E395A"/>
    <w:rPr>
      <w:rFonts w:ascii="Arial" w:eastAsia="Times New Roman" w:hAnsi="Arial" w:cs="Times New Roman"/>
      <w:sz w:val="24"/>
      <w:szCs w:val="20"/>
      <w:lang w:eastAsia="en-GB"/>
    </w:rPr>
  </w:style>
  <w:style w:type="paragraph" w:styleId="Footer">
    <w:name w:val="footer"/>
    <w:basedOn w:val="Normal"/>
    <w:link w:val="FooterChar"/>
    <w:rsid w:val="00DE395A"/>
    <w:pPr>
      <w:tabs>
        <w:tab w:val="center" w:pos="4153"/>
        <w:tab w:val="right" w:pos="8306"/>
      </w:tabs>
    </w:pPr>
  </w:style>
  <w:style w:type="character" w:customStyle="1" w:styleId="FooterChar">
    <w:name w:val="Footer Char"/>
    <w:basedOn w:val="DefaultParagraphFont"/>
    <w:link w:val="Footer"/>
    <w:rsid w:val="00DE395A"/>
    <w:rPr>
      <w:rFonts w:ascii="Times New Roman" w:eastAsia="Times New Roman" w:hAnsi="Times New Roman" w:cs="Times New Roman"/>
      <w:sz w:val="20"/>
      <w:szCs w:val="20"/>
      <w:lang w:val="en-US" w:eastAsia="en-GB"/>
    </w:rPr>
  </w:style>
  <w:style w:type="paragraph" w:styleId="BodyText2">
    <w:name w:val="Body Text 2"/>
    <w:basedOn w:val="Normal"/>
    <w:link w:val="BodyText2Char"/>
    <w:rsid w:val="00DE395A"/>
    <w:pPr>
      <w:jc w:val="both"/>
    </w:pPr>
    <w:rPr>
      <w:rFonts w:ascii="Arial" w:hAnsi="Arial"/>
      <w:sz w:val="24"/>
      <w:lang w:val="en-GB"/>
    </w:rPr>
  </w:style>
  <w:style w:type="character" w:customStyle="1" w:styleId="BodyText2Char">
    <w:name w:val="Body Text 2 Char"/>
    <w:basedOn w:val="DefaultParagraphFont"/>
    <w:link w:val="BodyText2"/>
    <w:rsid w:val="00DE395A"/>
    <w:rPr>
      <w:rFonts w:ascii="Arial" w:eastAsia="Times New Roman" w:hAnsi="Arial" w:cs="Times New Roman"/>
      <w:sz w:val="24"/>
      <w:szCs w:val="20"/>
      <w:lang w:eastAsia="en-GB"/>
    </w:rPr>
  </w:style>
  <w:style w:type="paragraph" w:styleId="BodyText">
    <w:name w:val="Body Text"/>
    <w:basedOn w:val="Normal"/>
    <w:link w:val="BodyTextChar"/>
    <w:rsid w:val="00DE395A"/>
    <w:pPr>
      <w:jc w:val="both"/>
    </w:pPr>
    <w:rPr>
      <w:rFonts w:ascii="Arial" w:hAnsi="Arial"/>
      <w:sz w:val="24"/>
      <w:lang w:val="en-GB"/>
    </w:rPr>
  </w:style>
  <w:style w:type="character" w:customStyle="1" w:styleId="BodyTextChar">
    <w:name w:val="Body Text Char"/>
    <w:basedOn w:val="DefaultParagraphFont"/>
    <w:link w:val="BodyText"/>
    <w:rsid w:val="00DE395A"/>
    <w:rPr>
      <w:rFonts w:ascii="Arial" w:eastAsia="Times New Roman" w:hAnsi="Arial" w:cs="Times New Roman"/>
      <w:sz w:val="24"/>
      <w:szCs w:val="20"/>
      <w:lang w:eastAsia="en-GB"/>
    </w:rPr>
  </w:style>
  <w:style w:type="paragraph" w:styleId="BodyText3">
    <w:name w:val="Body Text 3"/>
    <w:basedOn w:val="Normal"/>
    <w:link w:val="BodyText3Char"/>
    <w:rsid w:val="00DE395A"/>
    <w:pPr>
      <w:jc w:val="both"/>
    </w:pPr>
    <w:rPr>
      <w:rFonts w:ascii="Arial" w:hAnsi="Arial"/>
      <w:b/>
      <w:sz w:val="22"/>
      <w:lang w:val="en-GB"/>
    </w:rPr>
  </w:style>
  <w:style w:type="character" w:customStyle="1" w:styleId="BodyText3Char">
    <w:name w:val="Body Text 3 Char"/>
    <w:basedOn w:val="DefaultParagraphFont"/>
    <w:link w:val="BodyText3"/>
    <w:rsid w:val="00DE395A"/>
    <w:rPr>
      <w:rFonts w:ascii="Arial" w:eastAsia="Times New Roman" w:hAnsi="Arial" w:cs="Times New Roman"/>
      <w:b/>
      <w:szCs w:val="20"/>
      <w:lang w:eastAsia="en-GB"/>
    </w:rPr>
  </w:style>
  <w:style w:type="paragraph" w:styleId="Header">
    <w:name w:val="header"/>
    <w:basedOn w:val="Normal"/>
    <w:link w:val="HeaderChar"/>
    <w:rsid w:val="00DE395A"/>
    <w:pPr>
      <w:tabs>
        <w:tab w:val="center" w:pos="4153"/>
        <w:tab w:val="right" w:pos="8306"/>
      </w:tabs>
    </w:pPr>
  </w:style>
  <w:style w:type="character" w:customStyle="1" w:styleId="HeaderChar">
    <w:name w:val="Header Char"/>
    <w:basedOn w:val="DefaultParagraphFont"/>
    <w:link w:val="Header"/>
    <w:rsid w:val="00DE395A"/>
    <w:rPr>
      <w:rFonts w:ascii="Times New Roman" w:eastAsia="Times New Roman" w:hAnsi="Times New Roman" w:cs="Times New Roman"/>
      <w:sz w:val="20"/>
      <w:szCs w:val="20"/>
      <w:lang w:val="en-US" w:eastAsia="en-GB"/>
    </w:rPr>
  </w:style>
  <w:style w:type="paragraph" w:styleId="BalloonText">
    <w:name w:val="Balloon Text"/>
    <w:basedOn w:val="Normal"/>
    <w:link w:val="BalloonTextChar"/>
    <w:uiPriority w:val="99"/>
    <w:semiHidden/>
    <w:unhideWhenUsed/>
    <w:rsid w:val="00E259FD"/>
    <w:rPr>
      <w:rFonts w:ascii="Tahoma" w:hAnsi="Tahoma" w:cs="Tahoma"/>
      <w:sz w:val="16"/>
      <w:szCs w:val="16"/>
    </w:rPr>
  </w:style>
  <w:style w:type="character" w:customStyle="1" w:styleId="BalloonTextChar">
    <w:name w:val="Balloon Text Char"/>
    <w:basedOn w:val="DefaultParagraphFont"/>
    <w:link w:val="BalloonText"/>
    <w:uiPriority w:val="99"/>
    <w:semiHidden/>
    <w:rsid w:val="00E259FD"/>
    <w:rPr>
      <w:rFonts w:ascii="Tahoma" w:eastAsia="Times New Roman" w:hAnsi="Tahoma" w:cs="Tahoma"/>
      <w:sz w:val="16"/>
      <w:szCs w:val="16"/>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5C2128DA25A44EB11494EFA18A119E" ma:contentTypeVersion="23" ma:contentTypeDescription="Create a new document." ma:contentTypeScope="" ma:versionID="9f468935d7fb5e480abfe8531f1c8909">
  <xsd:schema xmlns:xsd="http://www.w3.org/2001/XMLSchema" xmlns:xs="http://www.w3.org/2001/XMLSchema" xmlns:p="http://schemas.microsoft.com/office/2006/metadata/properties" xmlns:ns2="fc78463e-d5b0-4fd8-abb1-e1eb3572d92c" xmlns:ns3="762c3af4-7a9a-4ea7-a9dd-5ca742d82ec7" targetNamespace="http://schemas.microsoft.com/office/2006/metadata/properties" ma:root="true" ma:fieldsID="66ad531208bade5c1be0796aefa2542a" ns2:_="" ns3:_="">
    <xsd:import namespace="fc78463e-d5b0-4fd8-abb1-e1eb3572d92c"/>
    <xsd:import namespace="762c3af4-7a9a-4ea7-a9dd-5ca742d82ec7"/>
    <xsd:element name="properties">
      <xsd:complexType>
        <xsd:sequence>
          <xsd:element name="documentManagement">
            <xsd:complexType>
              <xsd:all>
                <xsd:element ref="ns2:Info"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Sourc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Signed" minOccurs="0"/>
                <xsd:element ref="ns2:ReporttoDTI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8463e-d5b0-4fd8-abb1-e1eb3572d92c" elementFormDefault="qualified">
    <xsd:import namespace="http://schemas.microsoft.com/office/2006/documentManagement/types"/>
    <xsd:import namespace="http://schemas.microsoft.com/office/infopath/2007/PartnerControls"/>
    <xsd:element name="Info" ma:index="8" nillable="true" ma:displayName="Info" ma:format="Dropdown" ma:internalName="Info">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Source" ma:index="21" nillable="true" ma:displayName="Source" ma:format="Dropdown" ma:internalName="Source">
      <xsd:simpleType>
        <xsd:restriction base="dms:Text">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e83bfe8-052f-4e76-8200-e0f72956cd03"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dexed="true" ma:internalName="MediaServiceLocatio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Signed" ma:index="28" nillable="true" ma:displayName="Signed" ma:format="Dropdown" ma:internalName="Signed">
      <xsd:simpleType>
        <xsd:restriction base="dms:Choice">
          <xsd:enumeration value="Yes"/>
          <xsd:enumeration value="No"/>
          <xsd:enumeration value="project started before agreements"/>
          <xsd:enumeration value="project not started"/>
        </xsd:restriction>
      </xsd:simpleType>
    </xsd:element>
    <xsd:element name="ReporttoDTIB" ma:index="29" nillable="true" ma:displayName="Report to DTIB" ma:format="DateOnly" ma:internalName="ReporttoDTIB">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62c3af4-7a9a-4ea7-a9dd-5ca742d82ec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1b9aa3df-d8af-40ba-91e2-e5ec8e215a7a}" ma:internalName="TaxCatchAll" ma:showField="CatchAllData" ma:web="762c3af4-7a9a-4ea7-a9dd-5ca742d82e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62c3af4-7a9a-4ea7-a9dd-5ca742d82ec7" xsi:nil="true"/>
    <ReporttoDTIB xmlns="fc78463e-d5b0-4fd8-abb1-e1eb3572d92c" xsi:nil="true"/>
    <Info xmlns="fc78463e-d5b0-4fd8-abb1-e1eb3572d92c" xsi:nil="true"/>
    <Source xmlns="fc78463e-d5b0-4fd8-abb1-e1eb3572d92c" xsi:nil="true"/>
    <Signed xmlns="fc78463e-d5b0-4fd8-abb1-e1eb3572d92c" xsi:nil="true"/>
    <lcf76f155ced4ddcb4097134ff3c332f xmlns="fc78463e-d5b0-4fd8-abb1-e1eb3572d9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2DA344B-8008-4661-853E-C7EB2152602C}"/>
</file>

<file path=customXml/itemProps2.xml><?xml version="1.0" encoding="utf-8"?>
<ds:datastoreItem xmlns:ds="http://schemas.openxmlformats.org/officeDocument/2006/customXml" ds:itemID="{9A2E7174-892A-4FE9-A2D2-FBB0207851B2}"/>
</file>

<file path=customXml/itemProps3.xml><?xml version="1.0" encoding="utf-8"?>
<ds:datastoreItem xmlns:ds="http://schemas.openxmlformats.org/officeDocument/2006/customXml" ds:itemID="{8BDE9B0E-5746-45FF-A96B-1199C73B3F43}"/>
</file>

<file path=docProps/app.xml><?xml version="1.0" encoding="utf-8"?>
<Properties xmlns="http://schemas.openxmlformats.org/officeDocument/2006/extended-properties" xmlns:vt="http://schemas.openxmlformats.org/officeDocument/2006/docPropsVTypes">
  <Template>Normal</Template>
  <TotalTime>27</TotalTime>
  <Pages>2</Pages>
  <Words>568</Words>
  <Characters>3239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Falkirk Council</Company>
  <LinksUpToDate>false</LinksUpToDate>
  <CharactersWithSpaces>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Lynne Bissett</dc:creator>
  <cp:lastModifiedBy>Lynne Bissett</cp:lastModifiedBy>
  <cp:revision>8</cp:revision>
  <dcterms:created xsi:type="dcterms:W3CDTF">2024-08-15T14:49:00Z</dcterms:created>
  <dcterms:modified xsi:type="dcterms:W3CDTF">2024-08-15T15:15:00Z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0x010100E25C2128DA25A44EB11494EFA18A119E</vt:lpwstr>
  </property>
</Properties>
</file>