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1C5567" w14:textId="67AA6903" w:rsidR="00820451" w:rsidRDefault="00820451" w:rsidP="00820451">
      <w:pPr>
        <w:pStyle w:val="Heading2"/>
        <w:rPr>
          <w:rFonts w:eastAsia="Times New Roman"/>
          <w:lang w:eastAsia="en-GB"/>
        </w:rPr>
      </w:pPr>
      <w:bookmarkStart w:id="0" w:name="_Toc102572990"/>
      <w:r>
        <w:rPr>
          <w:rFonts w:eastAsia="Times New Roman"/>
          <w:lang w:eastAsia="en-GB"/>
        </w:rPr>
        <w:t xml:space="preserve">Report of Consultation: </w:t>
      </w:r>
      <w:bookmarkStart w:id="1" w:name="_Hlk140787264"/>
      <w:r w:rsidR="00FB603A" w:rsidRPr="00FB603A">
        <w:rPr>
          <w:rFonts w:eastAsia="Times New Roman"/>
          <w:lang w:eastAsia="en-GB"/>
        </w:rPr>
        <w:t>Frontiers of the Roman Empire (Antonine Wall) World Heritage Site</w:t>
      </w:r>
      <w:r>
        <w:rPr>
          <w:rFonts w:eastAsia="Times New Roman"/>
          <w:lang w:eastAsia="en-GB"/>
        </w:rPr>
        <w:t xml:space="preserve"> - </w:t>
      </w:r>
      <w:r w:rsidR="00FB603A" w:rsidRPr="00FB603A">
        <w:rPr>
          <w:rFonts w:eastAsia="Times New Roman"/>
          <w:lang w:eastAsia="en-GB"/>
        </w:rPr>
        <w:t>Supplementary Guidanc</w:t>
      </w:r>
      <w:bookmarkEnd w:id="0"/>
      <w:r>
        <w:rPr>
          <w:rFonts w:eastAsia="Times New Roman"/>
          <w:lang w:eastAsia="en-GB"/>
        </w:rPr>
        <w:t>e</w:t>
      </w:r>
    </w:p>
    <w:bookmarkEnd w:id="1"/>
    <w:p w14:paraId="768BABB5" w14:textId="77777777" w:rsidR="00BA1528" w:rsidRPr="00BA1528" w:rsidRDefault="00BA1528" w:rsidP="00BA1528">
      <w:pPr>
        <w:rPr>
          <w:lang w:eastAsia="en-GB"/>
        </w:rPr>
      </w:pPr>
    </w:p>
    <w:p w14:paraId="10223F53" w14:textId="77777777" w:rsidR="00BA1528" w:rsidRPr="00BA1528" w:rsidRDefault="00BA1528" w:rsidP="00BA1528">
      <w:pPr>
        <w:spacing w:after="0" w:line="240" w:lineRule="auto"/>
        <w:rPr>
          <w:rFonts w:ascii="Arial" w:eastAsia="Times New Roman" w:hAnsi="Arial" w:cs="Arial"/>
          <w:b/>
          <w:lang w:eastAsia="en-GB"/>
        </w:rPr>
      </w:pPr>
      <w:r w:rsidRPr="00BA1528">
        <w:rPr>
          <w:rFonts w:ascii="Arial" w:eastAsia="Times New Roman" w:hAnsi="Arial" w:cs="Arial"/>
          <w:b/>
          <w:lang w:eastAsia="en-GB"/>
        </w:rPr>
        <w:t>1</w:t>
      </w:r>
      <w:r w:rsidRPr="00BA1528">
        <w:rPr>
          <w:rFonts w:ascii="Arial" w:eastAsia="Times New Roman" w:hAnsi="Arial" w:cs="Arial"/>
          <w:b/>
          <w:lang w:eastAsia="en-GB"/>
        </w:rPr>
        <w:tab/>
        <w:t>Statutory Requirement</w:t>
      </w:r>
    </w:p>
    <w:p w14:paraId="0CE40296" w14:textId="77777777" w:rsidR="00BA1528" w:rsidRPr="00BA1528" w:rsidRDefault="00BA1528" w:rsidP="00BA1528">
      <w:pPr>
        <w:spacing w:after="0" w:line="240" w:lineRule="auto"/>
        <w:rPr>
          <w:rFonts w:ascii="Arial" w:eastAsia="Times New Roman" w:hAnsi="Arial" w:cs="Arial"/>
          <w:b/>
          <w:lang w:eastAsia="en-GB"/>
        </w:rPr>
      </w:pPr>
    </w:p>
    <w:p w14:paraId="2243E725" w14:textId="77777777" w:rsidR="00BA1528" w:rsidRPr="00BA1528" w:rsidRDefault="00BA1528" w:rsidP="00BA1528">
      <w:pPr>
        <w:spacing w:after="0" w:line="240" w:lineRule="auto"/>
        <w:ind w:left="720" w:hanging="720"/>
        <w:rPr>
          <w:rFonts w:ascii="Arial" w:eastAsia="Times New Roman" w:hAnsi="Arial" w:cs="Arial"/>
          <w:lang w:eastAsia="en-GB"/>
        </w:rPr>
      </w:pPr>
      <w:r w:rsidRPr="00BA1528">
        <w:rPr>
          <w:rFonts w:ascii="Arial" w:eastAsia="Times New Roman" w:hAnsi="Arial" w:cs="Arial"/>
          <w:lang w:eastAsia="en-GB"/>
        </w:rPr>
        <w:t>1.1</w:t>
      </w:r>
      <w:r w:rsidRPr="00BA1528">
        <w:rPr>
          <w:rFonts w:ascii="Arial" w:eastAsia="Times New Roman" w:hAnsi="Arial" w:cs="Arial"/>
          <w:lang w:eastAsia="en-GB"/>
        </w:rPr>
        <w:tab/>
        <w:t xml:space="preserve">This statement has been prepared in accordance with Section 22 of the Town and Country Planning (Scotland) Act 1997, as inserted by the Planning etc. (Scotland) Act 2006, which requires planning authorities to consult on Supplementary Guidance they have drafted, and to prepare a statement setting out the publicity measures they have undertaken, the comments they received and an explanation of how these comments were </w:t>
      </w:r>
      <w:proofErr w:type="gramStart"/>
      <w:r w:rsidRPr="00BA1528">
        <w:rPr>
          <w:rFonts w:ascii="Arial" w:eastAsia="Times New Roman" w:hAnsi="Arial" w:cs="Arial"/>
          <w:lang w:eastAsia="en-GB"/>
        </w:rPr>
        <w:t>taken into account</w:t>
      </w:r>
      <w:proofErr w:type="gramEnd"/>
      <w:r w:rsidRPr="00BA1528">
        <w:rPr>
          <w:rFonts w:ascii="Arial" w:eastAsia="Times New Roman" w:hAnsi="Arial" w:cs="Arial"/>
          <w:lang w:eastAsia="en-GB"/>
        </w:rPr>
        <w:t>.</w:t>
      </w:r>
    </w:p>
    <w:p w14:paraId="22074831" w14:textId="77777777" w:rsidR="00BA1528" w:rsidRPr="00BA1528" w:rsidRDefault="00BA1528" w:rsidP="00BA1528">
      <w:pPr>
        <w:spacing w:after="0" w:line="240" w:lineRule="auto"/>
        <w:rPr>
          <w:rFonts w:ascii="Arial" w:eastAsia="Times New Roman" w:hAnsi="Arial" w:cs="Arial"/>
          <w:lang w:eastAsia="en-GB"/>
        </w:rPr>
      </w:pPr>
    </w:p>
    <w:p w14:paraId="0C6939CC" w14:textId="77777777" w:rsidR="00BA1528" w:rsidRPr="00BA1528" w:rsidRDefault="00BA1528" w:rsidP="00BA1528">
      <w:pPr>
        <w:spacing w:after="0" w:line="240" w:lineRule="auto"/>
        <w:rPr>
          <w:rFonts w:ascii="Arial" w:eastAsia="Times New Roman" w:hAnsi="Arial" w:cs="Arial"/>
          <w:b/>
          <w:lang w:eastAsia="en-GB"/>
        </w:rPr>
      </w:pPr>
      <w:r w:rsidRPr="00BA1528">
        <w:rPr>
          <w:rFonts w:ascii="Arial" w:eastAsia="Times New Roman" w:hAnsi="Arial" w:cs="Arial"/>
          <w:b/>
          <w:lang w:eastAsia="en-GB"/>
        </w:rPr>
        <w:t>2</w:t>
      </w:r>
      <w:r w:rsidRPr="00BA1528">
        <w:rPr>
          <w:rFonts w:ascii="Arial" w:eastAsia="Times New Roman" w:hAnsi="Arial" w:cs="Arial"/>
          <w:b/>
          <w:lang w:eastAsia="en-GB"/>
        </w:rPr>
        <w:tab/>
        <w:t>Background</w:t>
      </w:r>
    </w:p>
    <w:p w14:paraId="3BDB1137" w14:textId="77777777" w:rsidR="00BA1528" w:rsidRPr="00BA1528" w:rsidRDefault="00BA1528" w:rsidP="00BA1528">
      <w:pPr>
        <w:spacing w:after="0" w:line="240" w:lineRule="auto"/>
        <w:rPr>
          <w:rFonts w:ascii="Arial" w:eastAsia="Times New Roman" w:hAnsi="Arial" w:cs="Arial"/>
          <w:lang w:eastAsia="en-GB"/>
        </w:rPr>
      </w:pPr>
    </w:p>
    <w:p w14:paraId="0AE1EDC5" w14:textId="211647CD" w:rsidR="00BA1528" w:rsidRDefault="00BA1528" w:rsidP="00BA1528">
      <w:pPr>
        <w:spacing w:after="0" w:line="240" w:lineRule="auto"/>
        <w:ind w:left="720" w:hanging="720"/>
        <w:rPr>
          <w:rFonts w:ascii="Arial" w:eastAsia="Times New Roman" w:hAnsi="Arial" w:cs="Arial"/>
          <w:lang w:val="en" w:eastAsia="en-GB"/>
        </w:rPr>
      </w:pPr>
      <w:r w:rsidRPr="00BA1528">
        <w:rPr>
          <w:rFonts w:ascii="Arial" w:eastAsia="Times New Roman" w:hAnsi="Arial" w:cs="Arial"/>
          <w:lang w:eastAsia="en-GB"/>
        </w:rPr>
        <w:t>2.1</w:t>
      </w:r>
      <w:r w:rsidRPr="00BA1528">
        <w:rPr>
          <w:rFonts w:ascii="Arial" w:eastAsia="Times New Roman" w:hAnsi="Arial" w:cs="Arial"/>
          <w:lang w:eastAsia="en-GB"/>
        </w:rPr>
        <w:tab/>
      </w:r>
      <w:r w:rsidRPr="00BA1528">
        <w:rPr>
          <w:rFonts w:ascii="Arial" w:eastAsia="Times New Roman" w:hAnsi="Arial" w:cs="Arial"/>
          <w:lang w:val="en" w:eastAsia="en-GB"/>
        </w:rPr>
        <w:t>The Falkirk Local Development Plan 2 (LDP2) was adopted on 7</w:t>
      </w:r>
      <w:r w:rsidRPr="00BA1528">
        <w:rPr>
          <w:rFonts w:ascii="Arial" w:eastAsia="Times New Roman" w:hAnsi="Arial" w:cs="Arial"/>
          <w:vertAlign w:val="superscript"/>
          <w:lang w:val="en" w:eastAsia="en-GB"/>
        </w:rPr>
        <w:t>th</w:t>
      </w:r>
      <w:r w:rsidRPr="00BA1528">
        <w:rPr>
          <w:rFonts w:ascii="Arial" w:eastAsia="Times New Roman" w:hAnsi="Arial" w:cs="Arial"/>
          <w:lang w:val="en" w:eastAsia="en-GB"/>
        </w:rPr>
        <w:t xml:space="preserve"> August 2020, and links to 14 supplementary guidance notes. </w:t>
      </w:r>
      <w:r>
        <w:rPr>
          <w:rFonts w:ascii="Arial" w:eastAsia="Times New Roman" w:hAnsi="Arial" w:cs="Arial"/>
          <w:lang w:val="en" w:eastAsia="en-GB"/>
        </w:rPr>
        <w:t xml:space="preserve">This Supplementary Guidance is the last in the suite of SGs, which form part of LDP2. </w:t>
      </w:r>
    </w:p>
    <w:p w14:paraId="1017C4EF" w14:textId="77777777" w:rsidR="00BA1528" w:rsidRDefault="00BA1528" w:rsidP="00BA1528">
      <w:pPr>
        <w:spacing w:after="0" w:line="240" w:lineRule="auto"/>
        <w:ind w:left="720" w:hanging="720"/>
        <w:rPr>
          <w:rFonts w:ascii="Arial" w:eastAsia="Times New Roman" w:hAnsi="Arial" w:cs="Arial"/>
          <w:lang w:val="en" w:eastAsia="en-GB"/>
        </w:rPr>
      </w:pPr>
    </w:p>
    <w:p w14:paraId="7188CD3D" w14:textId="53501833" w:rsidR="00BA1528" w:rsidRPr="00BA1528" w:rsidRDefault="00BA1528" w:rsidP="00BA1528">
      <w:pPr>
        <w:spacing w:after="0" w:line="240" w:lineRule="auto"/>
        <w:ind w:left="720" w:hanging="720"/>
        <w:rPr>
          <w:rFonts w:ascii="Arial" w:eastAsia="Times New Roman" w:hAnsi="Arial" w:cs="Arial"/>
          <w:lang w:eastAsia="en-GB"/>
        </w:rPr>
      </w:pPr>
      <w:r>
        <w:rPr>
          <w:rFonts w:ascii="Arial" w:eastAsia="Times New Roman" w:hAnsi="Arial" w:cs="Arial"/>
          <w:lang w:eastAsia="en-GB"/>
        </w:rPr>
        <w:t>2.2</w:t>
      </w:r>
      <w:r>
        <w:rPr>
          <w:rFonts w:ascii="Arial" w:eastAsia="Times New Roman" w:hAnsi="Arial" w:cs="Arial"/>
          <w:lang w:eastAsia="en-GB"/>
        </w:rPr>
        <w:tab/>
      </w:r>
      <w:r w:rsidRPr="00BA1528">
        <w:rPr>
          <w:rFonts w:ascii="Arial" w:eastAsia="Times New Roman" w:hAnsi="Arial" w:cs="Arial"/>
          <w:lang w:eastAsia="en-GB"/>
        </w:rPr>
        <w:t>Given the cross</w:t>
      </w:r>
      <w:r w:rsidR="002B5C88">
        <w:rPr>
          <w:rFonts w:ascii="Arial" w:eastAsia="Times New Roman" w:hAnsi="Arial" w:cs="Arial"/>
          <w:lang w:eastAsia="en-GB"/>
        </w:rPr>
        <w:t>-</w:t>
      </w:r>
      <w:r w:rsidRPr="00BA1528">
        <w:rPr>
          <w:rFonts w:ascii="Arial" w:eastAsia="Times New Roman" w:hAnsi="Arial" w:cs="Arial"/>
          <w:lang w:eastAsia="en-GB"/>
        </w:rPr>
        <w:t>boundary nature of the Antonine Wall, the Supplementary Planning Guidance was prepared jointly by the five local authority areas that the wall passes through (Falkirk, West Dunbartonshire, East Dunbartonshire, Glasgow, and North Lanarkshire) in consultation with Historic Environment Scotland. Each of the authorities has consulted upon the document and will be adopting separately to support the relevant policies within their respective LDP’s</w:t>
      </w:r>
      <w:r>
        <w:rPr>
          <w:rFonts w:ascii="Arial" w:eastAsia="Times New Roman" w:hAnsi="Arial" w:cs="Arial"/>
          <w:lang w:eastAsia="en-GB"/>
        </w:rPr>
        <w:t xml:space="preserve"> in the Local Authority areas where these are now adopted. </w:t>
      </w:r>
    </w:p>
    <w:p w14:paraId="3A2D28F3" w14:textId="77777777" w:rsidR="00BA1528" w:rsidRPr="00BA1528" w:rsidRDefault="00BA1528" w:rsidP="00BA1528">
      <w:pPr>
        <w:spacing w:after="0" w:line="240" w:lineRule="auto"/>
        <w:ind w:left="720" w:hanging="720"/>
        <w:rPr>
          <w:rFonts w:ascii="Arial" w:eastAsia="Times New Roman" w:hAnsi="Arial" w:cs="Arial"/>
          <w:lang w:eastAsia="en-GB"/>
        </w:rPr>
      </w:pPr>
    </w:p>
    <w:p w14:paraId="186B4EBF" w14:textId="77777777" w:rsidR="00BA1528" w:rsidRPr="00BA1528" w:rsidRDefault="00BA1528" w:rsidP="00BA1528">
      <w:pPr>
        <w:spacing w:after="0" w:line="240" w:lineRule="auto"/>
        <w:rPr>
          <w:rFonts w:ascii="Arial" w:eastAsia="Times New Roman" w:hAnsi="Arial" w:cs="Arial"/>
          <w:b/>
          <w:lang w:eastAsia="en-GB"/>
        </w:rPr>
      </w:pPr>
    </w:p>
    <w:p w14:paraId="67B8C75B" w14:textId="77777777" w:rsidR="00BA1528" w:rsidRPr="00BA1528" w:rsidRDefault="00BA1528" w:rsidP="00BA1528">
      <w:pPr>
        <w:spacing w:after="0" w:line="240" w:lineRule="auto"/>
        <w:rPr>
          <w:rFonts w:ascii="Arial" w:eastAsia="Times New Roman" w:hAnsi="Arial" w:cs="Arial"/>
          <w:b/>
          <w:lang w:eastAsia="en-GB"/>
        </w:rPr>
      </w:pPr>
      <w:r w:rsidRPr="00BA1528">
        <w:rPr>
          <w:rFonts w:ascii="Arial" w:eastAsia="Times New Roman" w:hAnsi="Arial" w:cs="Arial"/>
          <w:b/>
          <w:lang w:eastAsia="en-GB"/>
        </w:rPr>
        <w:t>3</w:t>
      </w:r>
      <w:r w:rsidRPr="00BA1528">
        <w:rPr>
          <w:rFonts w:ascii="Arial" w:eastAsia="Times New Roman" w:hAnsi="Arial" w:cs="Arial"/>
          <w:b/>
          <w:lang w:eastAsia="en-GB"/>
        </w:rPr>
        <w:tab/>
        <w:t>Publicity and Consultation Arrangements</w:t>
      </w:r>
    </w:p>
    <w:p w14:paraId="36C4E352" w14:textId="77777777" w:rsidR="00BA1528" w:rsidRPr="00BA1528" w:rsidRDefault="00BA1528" w:rsidP="00BA1528">
      <w:pPr>
        <w:spacing w:after="0" w:line="240" w:lineRule="auto"/>
        <w:jc w:val="both"/>
        <w:rPr>
          <w:rFonts w:ascii="Arial" w:eastAsia="Times New Roman" w:hAnsi="Arial" w:cs="Arial"/>
          <w:lang w:eastAsia="en-GB"/>
        </w:rPr>
      </w:pPr>
    </w:p>
    <w:p w14:paraId="3A51A4E5" w14:textId="77777777" w:rsidR="00BA1528" w:rsidRPr="00BA1528" w:rsidRDefault="00BA1528" w:rsidP="00BA1528">
      <w:pPr>
        <w:spacing w:after="0" w:line="240" w:lineRule="auto"/>
        <w:ind w:firstLine="720"/>
        <w:jc w:val="both"/>
        <w:rPr>
          <w:rFonts w:ascii="Arial" w:eastAsia="Times New Roman" w:hAnsi="Arial" w:cs="Arial"/>
          <w:b/>
          <w:lang w:eastAsia="en-GB"/>
        </w:rPr>
      </w:pPr>
      <w:r w:rsidRPr="00BA1528">
        <w:rPr>
          <w:rFonts w:ascii="Arial" w:eastAsia="Times New Roman" w:hAnsi="Arial" w:cs="Arial"/>
          <w:b/>
          <w:lang w:eastAsia="en-GB"/>
        </w:rPr>
        <w:t>Advertisements</w:t>
      </w:r>
    </w:p>
    <w:p w14:paraId="692FB271" w14:textId="5CDA0C16" w:rsidR="00BA1528" w:rsidRPr="00BA1528" w:rsidRDefault="00BA1528" w:rsidP="00BA1528">
      <w:pPr>
        <w:autoSpaceDE w:val="0"/>
        <w:autoSpaceDN w:val="0"/>
        <w:adjustRightInd w:val="0"/>
        <w:spacing w:after="0" w:line="240" w:lineRule="auto"/>
        <w:ind w:left="720" w:hanging="720"/>
        <w:rPr>
          <w:rFonts w:ascii="Arial" w:eastAsia="Times New Roman" w:hAnsi="Arial" w:cs="Arial"/>
          <w:color w:val="000000"/>
          <w:lang w:eastAsia="en-GB"/>
        </w:rPr>
      </w:pPr>
      <w:r w:rsidRPr="00BA1528">
        <w:rPr>
          <w:rFonts w:ascii="Arial" w:eastAsia="Times New Roman" w:hAnsi="Arial" w:cs="Arial"/>
          <w:color w:val="000000"/>
          <w:lang w:eastAsia="en-GB"/>
        </w:rPr>
        <w:t>3.1</w:t>
      </w:r>
      <w:r w:rsidRPr="00BA1528">
        <w:rPr>
          <w:rFonts w:ascii="Arial" w:eastAsia="Times New Roman" w:hAnsi="Arial" w:cs="Arial"/>
          <w:color w:val="000000"/>
          <w:lang w:eastAsia="en-GB"/>
        </w:rPr>
        <w:tab/>
        <w:t>To fulfil the statutory obligations ensuring that adequate publicity was given to the Draft SG</w:t>
      </w:r>
      <w:r w:rsidR="002B5C88">
        <w:rPr>
          <w:rFonts w:ascii="Arial" w:eastAsia="Times New Roman" w:hAnsi="Arial" w:cs="Arial"/>
          <w:color w:val="000000"/>
          <w:lang w:eastAsia="en-GB"/>
        </w:rPr>
        <w:t>11,</w:t>
      </w:r>
      <w:r w:rsidRPr="00BA1528">
        <w:rPr>
          <w:rFonts w:ascii="Arial" w:eastAsia="Times New Roman" w:hAnsi="Arial" w:cs="Arial"/>
          <w:color w:val="000000"/>
          <w:lang w:eastAsia="en-GB"/>
        </w:rPr>
        <w:t xml:space="preserve"> public advertisements were placed in two local newspapers Falkirk Herald (Thursday </w:t>
      </w:r>
      <w:r w:rsidR="002B5C88">
        <w:rPr>
          <w:rFonts w:ascii="Arial" w:eastAsia="Times New Roman" w:hAnsi="Arial" w:cs="Arial"/>
          <w:color w:val="000000"/>
          <w:lang w:val="en" w:eastAsia="en-GB"/>
        </w:rPr>
        <w:t>17</w:t>
      </w:r>
      <w:r w:rsidR="002B5C88" w:rsidRPr="002B5C88">
        <w:rPr>
          <w:rFonts w:ascii="Arial" w:eastAsia="Times New Roman" w:hAnsi="Arial" w:cs="Arial"/>
          <w:color w:val="000000"/>
          <w:vertAlign w:val="superscript"/>
          <w:lang w:val="en" w:eastAsia="en-GB"/>
        </w:rPr>
        <w:t>th</w:t>
      </w:r>
      <w:r w:rsidR="002B5C88">
        <w:rPr>
          <w:rFonts w:ascii="Arial" w:eastAsia="Times New Roman" w:hAnsi="Arial" w:cs="Arial"/>
          <w:color w:val="000000"/>
          <w:lang w:val="en" w:eastAsia="en-GB"/>
        </w:rPr>
        <w:t xml:space="preserve"> February 2022</w:t>
      </w:r>
      <w:r w:rsidRPr="00BA1528">
        <w:rPr>
          <w:rFonts w:ascii="Arial" w:eastAsia="Times New Roman" w:hAnsi="Arial" w:cs="Arial"/>
          <w:color w:val="000000"/>
          <w:lang w:val="en" w:eastAsia="en-GB"/>
        </w:rPr>
        <w:t xml:space="preserve">) </w:t>
      </w:r>
      <w:r w:rsidRPr="00BA1528">
        <w:rPr>
          <w:rFonts w:ascii="Arial" w:eastAsia="Times New Roman" w:hAnsi="Arial" w:cs="Arial"/>
          <w:color w:val="000000"/>
          <w:lang w:eastAsia="en-GB"/>
        </w:rPr>
        <w:t xml:space="preserve">and the </w:t>
      </w:r>
      <w:r w:rsidR="002B5C88">
        <w:rPr>
          <w:rFonts w:ascii="Arial" w:eastAsia="Times New Roman" w:hAnsi="Arial" w:cs="Arial"/>
          <w:color w:val="000000"/>
          <w:lang w:eastAsia="en-GB"/>
        </w:rPr>
        <w:t>Bo’ness Journal</w:t>
      </w:r>
      <w:r w:rsidRPr="00BA1528">
        <w:rPr>
          <w:rFonts w:ascii="Arial" w:eastAsia="Times New Roman" w:hAnsi="Arial" w:cs="Arial"/>
          <w:color w:val="000000"/>
          <w:lang w:eastAsia="en-GB"/>
        </w:rPr>
        <w:t xml:space="preserve"> (Friday </w:t>
      </w:r>
      <w:r w:rsidR="002B5C88">
        <w:rPr>
          <w:rFonts w:ascii="Arial" w:eastAsia="Times New Roman" w:hAnsi="Arial" w:cs="Arial"/>
          <w:color w:val="000000"/>
          <w:lang w:eastAsia="en-GB"/>
        </w:rPr>
        <w:t>18</w:t>
      </w:r>
      <w:r w:rsidR="002B5C88" w:rsidRPr="002B5C88">
        <w:rPr>
          <w:rFonts w:ascii="Arial" w:eastAsia="Times New Roman" w:hAnsi="Arial" w:cs="Arial"/>
          <w:color w:val="000000"/>
          <w:vertAlign w:val="superscript"/>
          <w:lang w:eastAsia="en-GB"/>
        </w:rPr>
        <w:t>th</w:t>
      </w:r>
      <w:r w:rsidR="002B5C88">
        <w:rPr>
          <w:rFonts w:ascii="Arial" w:eastAsia="Times New Roman" w:hAnsi="Arial" w:cs="Arial"/>
          <w:color w:val="000000"/>
          <w:lang w:eastAsia="en-GB"/>
        </w:rPr>
        <w:t xml:space="preserve"> February 2022</w:t>
      </w:r>
      <w:r w:rsidRPr="00BA1528">
        <w:rPr>
          <w:rFonts w:ascii="Arial" w:eastAsia="Times New Roman" w:hAnsi="Arial" w:cs="Arial"/>
          <w:color w:val="000000"/>
          <w:lang w:eastAsia="en-GB"/>
        </w:rPr>
        <w:t>) at the start of the consultation period. An announcement was also made on Falkirk Development Plan Facebook page.</w:t>
      </w:r>
    </w:p>
    <w:p w14:paraId="65DD7D4E" w14:textId="77777777" w:rsidR="00BA1528" w:rsidRPr="00BA1528" w:rsidRDefault="00BA1528" w:rsidP="00BA1528">
      <w:pPr>
        <w:autoSpaceDE w:val="0"/>
        <w:autoSpaceDN w:val="0"/>
        <w:adjustRightInd w:val="0"/>
        <w:spacing w:after="0" w:line="240" w:lineRule="auto"/>
        <w:rPr>
          <w:rFonts w:ascii="Arial" w:eastAsia="Times New Roman" w:hAnsi="Arial" w:cs="Arial"/>
          <w:color w:val="000000"/>
          <w:lang w:eastAsia="en-GB"/>
        </w:rPr>
      </w:pPr>
    </w:p>
    <w:p w14:paraId="7D1CF485" w14:textId="77777777" w:rsidR="00BA1528" w:rsidRPr="00BA1528" w:rsidRDefault="00BA1528" w:rsidP="00BA1528">
      <w:pPr>
        <w:spacing w:after="0" w:line="240" w:lineRule="auto"/>
        <w:ind w:firstLine="720"/>
        <w:jc w:val="both"/>
        <w:rPr>
          <w:rFonts w:ascii="Arial" w:eastAsia="Times New Roman" w:hAnsi="Arial" w:cs="Arial"/>
          <w:b/>
          <w:lang w:eastAsia="en-GB"/>
        </w:rPr>
      </w:pPr>
      <w:r w:rsidRPr="00BA1528">
        <w:rPr>
          <w:rFonts w:ascii="Arial" w:eastAsia="Times New Roman" w:hAnsi="Arial" w:cs="Arial"/>
          <w:b/>
          <w:lang w:eastAsia="en-GB"/>
        </w:rPr>
        <w:t xml:space="preserve">Document Availability </w:t>
      </w:r>
    </w:p>
    <w:p w14:paraId="019E263E" w14:textId="05ED1C83" w:rsidR="00BA1528" w:rsidRDefault="00BA1528" w:rsidP="002B5C88">
      <w:pPr>
        <w:spacing w:after="0" w:line="240" w:lineRule="auto"/>
        <w:ind w:left="720" w:hanging="720"/>
        <w:jc w:val="both"/>
        <w:rPr>
          <w:rFonts w:ascii="Arial" w:eastAsia="Times New Roman" w:hAnsi="Arial" w:cs="Arial"/>
          <w:lang w:eastAsia="en-GB"/>
        </w:rPr>
      </w:pPr>
      <w:r w:rsidRPr="00BA1528">
        <w:rPr>
          <w:rFonts w:ascii="Arial" w:eastAsia="Times New Roman" w:hAnsi="Arial" w:cs="Arial"/>
          <w:lang w:eastAsia="en-GB"/>
        </w:rPr>
        <w:t>3.2</w:t>
      </w:r>
      <w:r w:rsidRPr="00BA1528">
        <w:rPr>
          <w:rFonts w:ascii="Arial" w:eastAsia="Times New Roman" w:hAnsi="Arial" w:cs="Arial"/>
          <w:lang w:eastAsia="en-GB"/>
        </w:rPr>
        <w:tab/>
        <w:t>SG</w:t>
      </w:r>
      <w:r w:rsidR="002B5C88">
        <w:rPr>
          <w:rFonts w:ascii="Arial" w:eastAsia="Times New Roman" w:hAnsi="Arial" w:cs="Arial"/>
          <w:lang w:eastAsia="en-GB"/>
        </w:rPr>
        <w:t>11</w:t>
      </w:r>
      <w:r w:rsidRPr="00BA1528">
        <w:rPr>
          <w:rFonts w:ascii="Arial" w:eastAsia="Times New Roman" w:hAnsi="Arial" w:cs="Arial"/>
          <w:lang w:eastAsia="en-GB"/>
        </w:rPr>
        <w:t xml:space="preserve"> was available to view and download from Falkirk Council’s website</w:t>
      </w:r>
      <w:r w:rsidR="002B5C88">
        <w:rPr>
          <w:rFonts w:ascii="Arial" w:eastAsia="Times New Roman" w:hAnsi="Arial" w:cs="Arial"/>
          <w:lang w:eastAsia="en-GB"/>
        </w:rPr>
        <w:t xml:space="preserve"> at </w:t>
      </w:r>
      <w:hyperlink r:id="rId11" w:history="1">
        <w:r w:rsidR="002B5C88" w:rsidRPr="00850F95">
          <w:rPr>
            <w:rStyle w:val="Hyperlink"/>
            <w:rFonts w:ascii="Arial" w:eastAsia="Times New Roman" w:hAnsi="Arial" w:cs="Arial"/>
            <w:lang w:eastAsia="en-GB"/>
          </w:rPr>
          <w:t>https://www.falkirk.gov.uk/services/planning-building/planning-policy/supplementary-guidance/ldp2.aspx</w:t>
        </w:r>
      </w:hyperlink>
    </w:p>
    <w:p w14:paraId="74C87431" w14:textId="77777777" w:rsidR="002B5C88" w:rsidRPr="00BA1528" w:rsidRDefault="002B5C88" w:rsidP="002B5C88">
      <w:pPr>
        <w:spacing w:after="0" w:line="240" w:lineRule="auto"/>
        <w:ind w:left="720" w:hanging="720"/>
        <w:jc w:val="both"/>
        <w:rPr>
          <w:rFonts w:ascii="Arial" w:eastAsia="Times New Roman" w:hAnsi="Arial" w:cs="Arial"/>
          <w:lang w:eastAsia="en-GB"/>
        </w:rPr>
      </w:pPr>
    </w:p>
    <w:p w14:paraId="2B2DC721" w14:textId="15B55AB7" w:rsidR="00BA1528" w:rsidRPr="00BA1528" w:rsidRDefault="00BA1528" w:rsidP="00BA1528">
      <w:pPr>
        <w:spacing w:after="0" w:line="240" w:lineRule="auto"/>
        <w:ind w:left="720" w:hanging="720"/>
        <w:rPr>
          <w:rFonts w:ascii="Arial" w:eastAsia="Times New Roman" w:hAnsi="Arial" w:cs="Arial"/>
          <w:lang w:eastAsia="en-GB"/>
        </w:rPr>
      </w:pPr>
      <w:r w:rsidRPr="00BA1528">
        <w:rPr>
          <w:rFonts w:ascii="Arial" w:eastAsia="Times New Roman" w:hAnsi="Arial" w:cs="Arial"/>
          <w:lang w:eastAsia="en-GB"/>
        </w:rPr>
        <w:t>3.3</w:t>
      </w:r>
      <w:r w:rsidRPr="00BA1528">
        <w:rPr>
          <w:rFonts w:ascii="Arial" w:eastAsia="Times New Roman" w:hAnsi="Arial" w:cs="Arial"/>
          <w:lang w:eastAsia="en-GB"/>
        </w:rPr>
        <w:tab/>
        <w:t xml:space="preserve">Due to </w:t>
      </w:r>
      <w:r w:rsidR="002B5C88">
        <w:rPr>
          <w:rFonts w:ascii="Arial" w:eastAsia="Times New Roman" w:hAnsi="Arial" w:cs="Arial"/>
          <w:lang w:eastAsia="en-GB"/>
        </w:rPr>
        <w:t xml:space="preserve">the ongoing </w:t>
      </w:r>
      <w:r w:rsidRPr="00BA1528">
        <w:rPr>
          <w:rFonts w:ascii="Arial" w:eastAsia="Times New Roman" w:hAnsi="Arial" w:cs="Arial"/>
          <w:lang w:eastAsia="en-GB"/>
        </w:rPr>
        <w:t xml:space="preserve">restrictions imposed by COVID-19 </w:t>
      </w:r>
      <w:r>
        <w:rPr>
          <w:rFonts w:ascii="Arial" w:eastAsia="Times New Roman" w:hAnsi="Arial" w:cs="Arial"/>
          <w:lang w:eastAsia="en-GB"/>
        </w:rPr>
        <w:t xml:space="preserve">at the time </w:t>
      </w:r>
      <w:r w:rsidRPr="00BA1528">
        <w:rPr>
          <w:rFonts w:ascii="Arial" w:eastAsia="Times New Roman" w:hAnsi="Arial" w:cs="Arial"/>
          <w:lang w:eastAsia="en-GB"/>
        </w:rPr>
        <w:t>we were unable to make hard copies of SG</w:t>
      </w:r>
      <w:r w:rsidR="002B5C88">
        <w:rPr>
          <w:rFonts w:ascii="Arial" w:eastAsia="Times New Roman" w:hAnsi="Arial" w:cs="Arial"/>
          <w:lang w:eastAsia="en-GB"/>
        </w:rPr>
        <w:t>11</w:t>
      </w:r>
      <w:r w:rsidRPr="00BA1528">
        <w:rPr>
          <w:rFonts w:ascii="Arial" w:eastAsia="Times New Roman" w:hAnsi="Arial" w:cs="Arial"/>
          <w:lang w:eastAsia="en-GB"/>
        </w:rPr>
        <w:t xml:space="preserve"> available at the usual deposit locations </w:t>
      </w:r>
      <w:r w:rsidRPr="00BA1528">
        <w:rPr>
          <w:rFonts w:ascii="Arial" w:eastAsia="Times New Roman" w:hAnsi="Arial" w:cs="Arial"/>
          <w:lang w:val="en" w:eastAsia="en-GB"/>
        </w:rPr>
        <w:t>(Abbotsford House, Council Libraries and Advice and Support Hubs)</w:t>
      </w:r>
      <w:r w:rsidRPr="00BA1528">
        <w:rPr>
          <w:rFonts w:ascii="Arial" w:eastAsia="Times New Roman" w:hAnsi="Arial" w:cs="Arial"/>
          <w:lang w:eastAsia="en-GB"/>
        </w:rPr>
        <w:t xml:space="preserve">. </w:t>
      </w:r>
    </w:p>
    <w:p w14:paraId="163D1615" w14:textId="77777777" w:rsidR="00BA1528" w:rsidRPr="00BA1528" w:rsidRDefault="00BA1528" w:rsidP="00BA1528">
      <w:pPr>
        <w:spacing w:after="0" w:line="240" w:lineRule="auto"/>
        <w:jc w:val="both"/>
        <w:rPr>
          <w:rFonts w:ascii="Arial" w:eastAsia="Times New Roman" w:hAnsi="Arial" w:cs="Arial"/>
          <w:lang w:eastAsia="en-GB"/>
        </w:rPr>
      </w:pPr>
    </w:p>
    <w:p w14:paraId="4084E17C" w14:textId="77777777" w:rsidR="00BA1528" w:rsidRPr="00BA1528" w:rsidRDefault="00BA1528" w:rsidP="00BA1528">
      <w:pPr>
        <w:spacing w:after="0" w:line="240" w:lineRule="auto"/>
        <w:ind w:firstLine="720"/>
        <w:jc w:val="both"/>
        <w:rPr>
          <w:rFonts w:ascii="Arial" w:eastAsia="Times New Roman" w:hAnsi="Arial" w:cs="Arial"/>
          <w:b/>
          <w:lang w:eastAsia="en-GB"/>
        </w:rPr>
      </w:pPr>
      <w:r w:rsidRPr="00BA1528">
        <w:rPr>
          <w:rFonts w:ascii="Arial" w:eastAsia="Times New Roman" w:hAnsi="Arial" w:cs="Arial"/>
          <w:b/>
          <w:lang w:eastAsia="en-GB"/>
        </w:rPr>
        <w:lastRenderedPageBreak/>
        <w:br/>
      </w:r>
    </w:p>
    <w:p w14:paraId="44CB1692" w14:textId="77777777" w:rsidR="00BA1528" w:rsidRPr="00BA1528" w:rsidRDefault="00BA1528" w:rsidP="00BA1528">
      <w:pPr>
        <w:spacing w:after="0" w:line="240" w:lineRule="auto"/>
        <w:ind w:firstLine="720"/>
        <w:jc w:val="both"/>
        <w:rPr>
          <w:rFonts w:ascii="Arial" w:eastAsia="Times New Roman" w:hAnsi="Arial" w:cs="Arial"/>
          <w:b/>
          <w:lang w:eastAsia="en-GB"/>
        </w:rPr>
      </w:pPr>
      <w:r w:rsidRPr="00BA1528">
        <w:rPr>
          <w:rFonts w:ascii="Arial" w:eastAsia="Times New Roman" w:hAnsi="Arial" w:cs="Arial"/>
          <w:b/>
          <w:lang w:eastAsia="en-GB"/>
        </w:rPr>
        <w:t xml:space="preserve"> </w:t>
      </w:r>
    </w:p>
    <w:p w14:paraId="3E2DA9F8" w14:textId="77777777" w:rsidR="00BA1528" w:rsidRPr="00BA1528" w:rsidRDefault="00BA1528" w:rsidP="00BA1528">
      <w:pPr>
        <w:spacing w:after="0" w:line="240" w:lineRule="auto"/>
        <w:ind w:firstLine="720"/>
        <w:jc w:val="both"/>
        <w:rPr>
          <w:rFonts w:ascii="Arial" w:eastAsia="Times New Roman" w:hAnsi="Arial" w:cs="Arial"/>
          <w:b/>
          <w:lang w:eastAsia="en-GB"/>
        </w:rPr>
      </w:pPr>
    </w:p>
    <w:p w14:paraId="78DE5B25" w14:textId="77777777" w:rsidR="00BA1528" w:rsidRPr="00BA1528" w:rsidRDefault="00BA1528" w:rsidP="00BA1528">
      <w:pPr>
        <w:spacing w:after="0" w:line="240" w:lineRule="auto"/>
        <w:ind w:firstLine="720"/>
        <w:jc w:val="both"/>
        <w:rPr>
          <w:rFonts w:ascii="Arial" w:eastAsia="Times New Roman" w:hAnsi="Arial" w:cs="Arial"/>
          <w:b/>
          <w:lang w:eastAsia="en-GB"/>
        </w:rPr>
      </w:pPr>
      <w:r w:rsidRPr="00BA1528">
        <w:rPr>
          <w:rFonts w:ascii="Arial" w:eastAsia="Times New Roman" w:hAnsi="Arial" w:cs="Arial"/>
          <w:b/>
          <w:lang w:eastAsia="en-GB"/>
        </w:rPr>
        <w:t>Letter to Interested Parties</w:t>
      </w:r>
    </w:p>
    <w:p w14:paraId="055B824C" w14:textId="25792C94" w:rsidR="00BA1528" w:rsidRPr="00BA1528" w:rsidRDefault="00BA1528" w:rsidP="00BA1528">
      <w:pPr>
        <w:spacing w:after="0" w:line="240" w:lineRule="auto"/>
        <w:ind w:left="720" w:hanging="720"/>
        <w:jc w:val="both"/>
        <w:rPr>
          <w:rFonts w:ascii="Arial" w:eastAsia="Times New Roman" w:hAnsi="Arial" w:cs="Arial"/>
          <w:lang w:eastAsia="en-GB"/>
        </w:rPr>
      </w:pPr>
      <w:r w:rsidRPr="00BA1528">
        <w:rPr>
          <w:rFonts w:ascii="Arial" w:eastAsia="Times New Roman" w:hAnsi="Arial" w:cs="Arial"/>
          <w:lang w:eastAsia="en-GB"/>
        </w:rPr>
        <w:t>3.4</w:t>
      </w:r>
      <w:r w:rsidRPr="00BA1528">
        <w:rPr>
          <w:rFonts w:ascii="Arial" w:eastAsia="Times New Roman" w:hAnsi="Arial" w:cs="Arial"/>
          <w:lang w:eastAsia="en-GB"/>
        </w:rPr>
        <w:tab/>
        <w:t xml:space="preserve">Over 900 key agencies, organisations and individuals were notified </w:t>
      </w:r>
      <w:r w:rsidR="002B5C88">
        <w:rPr>
          <w:rFonts w:ascii="Arial" w:eastAsia="Times New Roman" w:hAnsi="Arial" w:cs="Arial"/>
          <w:lang w:eastAsia="en-GB"/>
        </w:rPr>
        <w:t>via the mailing list</w:t>
      </w:r>
      <w:r w:rsidRPr="00BA1528">
        <w:rPr>
          <w:rFonts w:ascii="Arial" w:eastAsia="Times New Roman" w:hAnsi="Arial" w:cs="Arial"/>
          <w:lang w:eastAsia="en-GB"/>
        </w:rPr>
        <w:t xml:space="preserve"> of the commencement of the consultation process and the availability of SG</w:t>
      </w:r>
      <w:r w:rsidR="002B5C88">
        <w:rPr>
          <w:rFonts w:ascii="Arial" w:eastAsia="Times New Roman" w:hAnsi="Arial" w:cs="Arial"/>
          <w:lang w:eastAsia="en-GB"/>
        </w:rPr>
        <w:t>11</w:t>
      </w:r>
      <w:r w:rsidRPr="00BA1528">
        <w:rPr>
          <w:rFonts w:ascii="Arial" w:eastAsia="Times New Roman" w:hAnsi="Arial" w:cs="Arial"/>
          <w:lang w:eastAsia="en-GB"/>
        </w:rPr>
        <w:t xml:space="preserve"> on the Council website. </w:t>
      </w:r>
    </w:p>
    <w:p w14:paraId="22A247CC" w14:textId="77777777" w:rsidR="00BA1528" w:rsidRPr="00BA1528" w:rsidRDefault="00BA1528" w:rsidP="00BA1528">
      <w:pPr>
        <w:spacing w:after="0" w:line="240" w:lineRule="auto"/>
        <w:jc w:val="both"/>
        <w:rPr>
          <w:rFonts w:ascii="Arial" w:eastAsia="Times New Roman" w:hAnsi="Arial" w:cs="Arial"/>
          <w:lang w:eastAsia="en-GB"/>
        </w:rPr>
      </w:pPr>
    </w:p>
    <w:p w14:paraId="46A91AB3" w14:textId="77777777" w:rsidR="00BA1528" w:rsidRPr="00BA1528" w:rsidRDefault="00BA1528" w:rsidP="00BA1528">
      <w:pPr>
        <w:spacing w:after="0" w:line="240" w:lineRule="auto"/>
        <w:ind w:firstLine="720"/>
        <w:jc w:val="both"/>
        <w:rPr>
          <w:rFonts w:ascii="Arial" w:eastAsia="Times New Roman" w:hAnsi="Arial" w:cs="Arial"/>
          <w:b/>
          <w:lang w:eastAsia="en-GB"/>
        </w:rPr>
      </w:pPr>
      <w:r w:rsidRPr="00BA1528">
        <w:rPr>
          <w:rFonts w:ascii="Arial" w:eastAsia="Times New Roman" w:hAnsi="Arial" w:cs="Arial"/>
          <w:b/>
          <w:lang w:eastAsia="en-GB"/>
        </w:rPr>
        <w:t>Consultation Period</w:t>
      </w:r>
    </w:p>
    <w:p w14:paraId="60722AB4" w14:textId="02992A2F" w:rsidR="00BA1528" w:rsidRPr="00BA1528" w:rsidRDefault="00BA1528" w:rsidP="00BA1528">
      <w:pPr>
        <w:spacing w:after="0" w:line="240" w:lineRule="auto"/>
        <w:ind w:left="720" w:hanging="720"/>
        <w:jc w:val="both"/>
        <w:rPr>
          <w:rFonts w:ascii="Arial" w:eastAsia="Times New Roman" w:hAnsi="Arial" w:cs="Arial"/>
          <w:lang w:val="en" w:eastAsia="en-GB"/>
        </w:rPr>
      </w:pPr>
      <w:r w:rsidRPr="00BA1528">
        <w:rPr>
          <w:rFonts w:ascii="Arial" w:eastAsia="Times New Roman" w:hAnsi="Arial" w:cs="Arial"/>
          <w:lang w:val="en" w:eastAsia="en-GB"/>
        </w:rPr>
        <w:t>3.5</w:t>
      </w:r>
      <w:r w:rsidRPr="00BA1528">
        <w:rPr>
          <w:rFonts w:ascii="Arial" w:eastAsia="Times New Roman" w:hAnsi="Arial" w:cs="Arial"/>
          <w:lang w:val="en" w:eastAsia="en-GB"/>
        </w:rPr>
        <w:tab/>
        <w:t xml:space="preserve">Comments were invited for 6 weeks from Friday </w:t>
      </w:r>
      <w:r w:rsidR="00F10422">
        <w:rPr>
          <w:rFonts w:ascii="Arial" w:eastAsia="Times New Roman" w:hAnsi="Arial" w:cs="Arial"/>
          <w:lang w:val="en" w:eastAsia="en-GB"/>
        </w:rPr>
        <w:t>18</w:t>
      </w:r>
      <w:r w:rsidR="00F10422" w:rsidRPr="00F10422">
        <w:rPr>
          <w:rFonts w:ascii="Arial" w:eastAsia="Times New Roman" w:hAnsi="Arial" w:cs="Arial"/>
          <w:vertAlign w:val="superscript"/>
          <w:lang w:val="en" w:eastAsia="en-GB"/>
        </w:rPr>
        <w:t>th</w:t>
      </w:r>
      <w:r w:rsidR="00F10422">
        <w:rPr>
          <w:rFonts w:ascii="Arial" w:eastAsia="Times New Roman" w:hAnsi="Arial" w:cs="Arial"/>
          <w:lang w:val="en" w:eastAsia="en-GB"/>
        </w:rPr>
        <w:t xml:space="preserve"> February until Friday 1</w:t>
      </w:r>
      <w:r w:rsidR="00F10422" w:rsidRPr="00F10422">
        <w:rPr>
          <w:rFonts w:ascii="Arial" w:eastAsia="Times New Roman" w:hAnsi="Arial" w:cs="Arial"/>
          <w:vertAlign w:val="superscript"/>
          <w:lang w:val="en" w:eastAsia="en-GB"/>
        </w:rPr>
        <w:t>st</w:t>
      </w:r>
      <w:r w:rsidR="00F10422">
        <w:rPr>
          <w:rFonts w:ascii="Arial" w:eastAsia="Times New Roman" w:hAnsi="Arial" w:cs="Arial"/>
          <w:lang w:val="en" w:eastAsia="en-GB"/>
        </w:rPr>
        <w:t xml:space="preserve"> April</w:t>
      </w:r>
      <w:r w:rsidRPr="00BA1528">
        <w:rPr>
          <w:rFonts w:ascii="Arial" w:eastAsia="Times New Roman" w:hAnsi="Arial" w:cs="Arial"/>
          <w:lang w:val="en" w:eastAsia="en-GB"/>
        </w:rPr>
        <w:t xml:space="preserve">. All comments </w:t>
      </w:r>
      <w:proofErr w:type="gramStart"/>
      <w:r w:rsidRPr="00BA1528">
        <w:rPr>
          <w:rFonts w:ascii="Arial" w:eastAsia="Times New Roman" w:hAnsi="Arial" w:cs="Arial"/>
          <w:lang w:val="en" w:eastAsia="en-GB"/>
        </w:rPr>
        <w:t>received</w:t>
      </w:r>
      <w:r w:rsidR="00F10422">
        <w:rPr>
          <w:rFonts w:ascii="Arial" w:eastAsia="Times New Roman" w:hAnsi="Arial" w:cs="Arial"/>
          <w:lang w:val="en" w:eastAsia="en-GB"/>
        </w:rPr>
        <w:t>,</w:t>
      </w:r>
      <w:proofErr w:type="gramEnd"/>
      <w:r w:rsidR="00F10422">
        <w:rPr>
          <w:rFonts w:ascii="Arial" w:eastAsia="Times New Roman" w:hAnsi="Arial" w:cs="Arial"/>
          <w:lang w:val="en" w:eastAsia="en-GB"/>
        </w:rPr>
        <w:t xml:space="preserve"> by all partner authorities within the World Her</w:t>
      </w:r>
      <w:r w:rsidR="002B5C88">
        <w:rPr>
          <w:rFonts w:ascii="Arial" w:eastAsia="Times New Roman" w:hAnsi="Arial" w:cs="Arial"/>
          <w:lang w:val="en" w:eastAsia="en-GB"/>
        </w:rPr>
        <w:t>i</w:t>
      </w:r>
      <w:r w:rsidR="00F10422">
        <w:rPr>
          <w:rFonts w:ascii="Arial" w:eastAsia="Times New Roman" w:hAnsi="Arial" w:cs="Arial"/>
          <w:lang w:val="en" w:eastAsia="en-GB"/>
        </w:rPr>
        <w:t>tage Site</w:t>
      </w:r>
      <w:r w:rsidRPr="00BA1528">
        <w:rPr>
          <w:rFonts w:ascii="Arial" w:eastAsia="Times New Roman" w:hAnsi="Arial" w:cs="Arial"/>
          <w:lang w:val="en" w:eastAsia="en-GB"/>
        </w:rPr>
        <w:t xml:space="preserve"> during that period have been </w:t>
      </w:r>
      <w:proofErr w:type="gramStart"/>
      <w:r w:rsidRPr="00BA1528">
        <w:rPr>
          <w:rFonts w:ascii="Arial" w:eastAsia="Times New Roman" w:hAnsi="Arial" w:cs="Arial"/>
          <w:lang w:val="en" w:eastAsia="en-GB"/>
        </w:rPr>
        <w:t>taken into account</w:t>
      </w:r>
      <w:proofErr w:type="gramEnd"/>
      <w:r w:rsidRPr="00BA1528">
        <w:rPr>
          <w:rFonts w:ascii="Arial" w:eastAsia="Times New Roman" w:hAnsi="Arial" w:cs="Arial"/>
          <w:lang w:val="en" w:eastAsia="en-GB"/>
        </w:rPr>
        <w:t xml:space="preserve"> in </w:t>
      </w:r>
      <w:proofErr w:type="spellStart"/>
      <w:r w:rsidRPr="00BA1528">
        <w:rPr>
          <w:rFonts w:ascii="Arial" w:eastAsia="Times New Roman" w:hAnsi="Arial" w:cs="Arial"/>
          <w:lang w:val="en" w:eastAsia="en-GB"/>
        </w:rPr>
        <w:t>finalising</w:t>
      </w:r>
      <w:proofErr w:type="spellEnd"/>
      <w:r w:rsidRPr="00BA1528">
        <w:rPr>
          <w:rFonts w:ascii="Arial" w:eastAsia="Times New Roman" w:hAnsi="Arial" w:cs="Arial"/>
          <w:lang w:val="en" w:eastAsia="en-GB"/>
        </w:rPr>
        <w:t xml:space="preserve"> SG</w:t>
      </w:r>
      <w:r w:rsidR="00F10422">
        <w:rPr>
          <w:rFonts w:ascii="Arial" w:eastAsia="Times New Roman" w:hAnsi="Arial" w:cs="Arial"/>
          <w:lang w:val="en" w:eastAsia="en-GB"/>
        </w:rPr>
        <w:t>11</w:t>
      </w:r>
      <w:r w:rsidRPr="00BA1528">
        <w:rPr>
          <w:rFonts w:ascii="Arial" w:eastAsia="Times New Roman" w:hAnsi="Arial" w:cs="Arial"/>
          <w:lang w:val="en" w:eastAsia="en-GB"/>
        </w:rPr>
        <w:t>.</w:t>
      </w:r>
    </w:p>
    <w:p w14:paraId="16DD27E4" w14:textId="77777777" w:rsidR="00BA1528" w:rsidRPr="00BA1528" w:rsidRDefault="00BA1528" w:rsidP="00BA1528">
      <w:pPr>
        <w:spacing w:after="0" w:line="240" w:lineRule="auto"/>
        <w:jc w:val="both"/>
        <w:rPr>
          <w:rFonts w:ascii="Arial" w:eastAsia="Times New Roman" w:hAnsi="Arial" w:cs="Arial"/>
          <w:lang w:eastAsia="en-GB"/>
        </w:rPr>
      </w:pPr>
    </w:p>
    <w:p w14:paraId="3D5009E7" w14:textId="77777777" w:rsidR="00BA1528" w:rsidRPr="00BA1528" w:rsidRDefault="00BA1528" w:rsidP="00BA1528">
      <w:pPr>
        <w:spacing w:after="0" w:line="240" w:lineRule="auto"/>
        <w:jc w:val="both"/>
        <w:rPr>
          <w:rFonts w:ascii="Arial" w:eastAsia="Times New Roman" w:hAnsi="Arial" w:cs="Arial"/>
          <w:b/>
          <w:lang w:eastAsia="en-GB"/>
        </w:rPr>
      </w:pPr>
      <w:r w:rsidRPr="00BA1528">
        <w:rPr>
          <w:rFonts w:ascii="Arial" w:eastAsia="Times New Roman" w:hAnsi="Arial" w:cs="Arial"/>
          <w:b/>
          <w:lang w:eastAsia="en-GB"/>
        </w:rPr>
        <w:t>4.</w:t>
      </w:r>
      <w:r w:rsidRPr="00BA1528">
        <w:rPr>
          <w:rFonts w:ascii="Arial" w:eastAsia="Times New Roman" w:hAnsi="Arial" w:cs="Arial"/>
          <w:b/>
          <w:lang w:eastAsia="en-GB"/>
        </w:rPr>
        <w:tab/>
        <w:t xml:space="preserve">Comments Received </w:t>
      </w:r>
    </w:p>
    <w:p w14:paraId="4298C5F9" w14:textId="77777777" w:rsidR="00BA1528" w:rsidRPr="00BA1528" w:rsidRDefault="00BA1528" w:rsidP="00BA1528">
      <w:pPr>
        <w:spacing w:after="0" w:line="240" w:lineRule="auto"/>
        <w:jc w:val="both"/>
        <w:rPr>
          <w:rFonts w:ascii="Arial" w:eastAsia="Times New Roman" w:hAnsi="Arial" w:cs="Arial"/>
          <w:b/>
          <w:lang w:eastAsia="en-GB"/>
        </w:rPr>
      </w:pPr>
    </w:p>
    <w:p w14:paraId="79EFC03D" w14:textId="2E819B7E" w:rsidR="00BA1528" w:rsidRPr="00BA1528" w:rsidRDefault="00BA1528" w:rsidP="00BA1528">
      <w:pPr>
        <w:numPr>
          <w:ilvl w:val="1"/>
          <w:numId w:val="35"/>
        </w:numPr>
        <w:spacing w:after="0" w:line="240" w:lineRule="auto"/>
        <w:jc w:val="both"/>
        <w:rPr>
          <w:rFonts w:ascii="Arial" w:eastAsia="Times New Roman" w:hAnsi="Arial" w:cs="Arial"/>
          <w:lang w:eastAsia="en-GB"/>
        </w:rPr>
      </w:pPr>
      <w:r w:rsidRPr="00BA1528">
        <w:rPr>
          <w:rFonts w:ascii="Arial" w:eastAsia="Times New Roman" w:hAnsi="Arial" w:cs="Arial"/>
          <w:lang w:eastAsia="en-GB"/>
        </w:rPr>
        <w:t>Over the consultation period responses were received from the following organisations/individuals:</w:t>
      </w:r>
    </w:p>
    <w:p w14:paraId="7DAEDBBE" w14:textId="77777777" w:rsidR="00BA1528" w:rsidRPr="00BA1528" w:rsidRDefault="00BA1528" w:rsidP="00BA1528">
      <w:pPr>
        <w:spacing w:after="0" w:line="240" w:lineRule="auto"/>
        <w:jc w:val="both"/>
        <w:rPr>
          <w:rFonts w:ascii="Arial" w:eastAsia="Times New Roman" w:hAnsi="Arial" w:cs="Arial"/>
          <w:lang w:eastAsia="en-GB"/>
        </w:rPr>
      </w:pPr>
    </w:p>
    <w:p w14:paraId="38310455" w14:textId="77777777" w:rsidR="00BA1528" w:rsidRPr="00BA1528" w:rsidRDefault="00BA1528" w:rsidP="00BA1528">
      <w:pPr>
        <w:numPr>
          <w:ilvl w:val="0"/>
          <w:numId w:val="36"/>
        </w:numPr>
        <w:spacing w:after="0" w:line="240" w:lineRule="auto"/>
        <w:jc w:val="both"/>
        <w:rPr>
          <w:rFonts w:ascii="Arial" w:eastAsia="Times New Roman" w:hAnsi="Arial" w:cs="Arial"/>
          <w:lang w:eastAsia="en-GB"/>
        </w:rPr>
      </w:pPr>
      <w:r w:rsidRPr="00BA1528">
        <w:rPr>
          <w:rFonts w:ascii="Arial" w:eastAsia="Times New Roman" w:hAnsi="Arial" w:cs="Arial"/>
          <w:lang w:eastAsia="en-GB"/>
        </w:rPr>
        <w:t>NatureScot</w:t>
      </w:r>
    </w:p>
    <w:p w14:paraId="0023D415" w14:textId="77777777" w:rsidR="00BA1528" w:rsidRPr="00BA1528" w:rsidRDefault="00BA1528" w:rsidP="00BA1528">
      <w:pPr>
        <w:numPr>
          <w:ilvl w:val="0"/>
          <w:numId w:val="36"/>
        </w:numPr>
        <w:spacing w:after="0" w:line="240" w:lineRule="auto"/>
        <w:jc w:val="both"/>
        <w:rPr>
          <w:rFonts w:ascii="Arial" w:eastAsia="Times New Roman" w:hAnsi="Arial" w:cs="Arial"/>
          <w:lang w:eastAsia="en-GB"/>
        </w:rPr>
      </w:pPr>
      <w:r w:rsidRPr="00BA1528">
        <w:rPr>
          <w:rFonts w:ascii="Arial" w:eastAsia="Times New Roman" w:hAnsi="Arial" w:cs="Arial"/>
          <w:lang w:eastAsia="en-GB"/>
        </w:rPr>
        <w:t>Scottish Government</w:t>
      </w:r>
    </w:p>
    <w:p w14:paraId="08126AF0" w14:textId="62334084" w:rsidR="00BA1528" w:rsidRPr="00BA1528" w:rsidRDefault="002B5C88" w:rsidP="00BA1528">
      <w:pPr>
        <w:numPr>
          <w:ilvl w:val="0"/>
          <w:numId w:val="36"/>
        </w:numPr>
        <w:spacing w:after="0" w:line="240" w:lineRule="auto"/>
        <w:jc w:val="both"/>
        <w:rPr>
          <w:rFonts w:ascii="Arial" w:eastAsia="Times New Roman" w:hAnsi="Arial" w:cs="Arial"/>
          <w:lang w:eastAsia="en-GB"/>
        </w:rPr>
      </w:pPr>
      <w:r>
        <w:rPr>
          <w:rFonts w:ascii="Arial" w:eastAsia="Times New Roman" w:hAnsi="Arial" w:cs="Arial"/>
          <w:lang w:eastAsia="en-GB"/>
        </w:rPr>
        <w:t>Historic Environment Scotland</w:t>
      </w:r>
    </w:p>
    <w:p w14:paraId="459D3F3F" w14:textId="77777777" w:rsidR="00BA1528" w:rsidRPr="00BA1528" w:rsidRDefault="00BA1528" w:rsidP="00BA1528">
      <w:pPr>
        <w:spacing w:after="0" w:line="240" w:lineRule="auto"/>
        <w:jc w:val="both"/>
        <w:rPr>
          <w:rFonts w:ascii="Arial" w:eastAsia="Times New Roman" w:hAnsi="Arial" w:cs="Arial"/>
          <w:b/>
          <w:lang w:eastAsia="en-GB"/>
        </w:rPr>
      </w:pPr>
    </w:p>
    <w:p w14:paraId="3C90275B" w14:textId="7E8D60DE" w:rsidR="00BA1528" w:rsidRPr="00BA1528" w:rsidRDefault="00BA1528" w:rsidP="00BA1528">
      <w:pPr>
        <w:numPr>
          <w:ilvl w:val="1"/>
          <w:numId w:val="35"/>
        </w:numPr>
        <w:spacing w:after="0" w:line="240" w:lineRule="auto"/>
        <w:jc w:val="both"/>
        <w:rPr>
          <w:rFonts w:ascii="Times New Roman" w:eastAsia="Times New Roman" w:hAnsi="Times New Roman" w:cs="Times New Roman"/>
          <w:lang w:eastAsia="en-GB"/>
        </w:rPr>
      </w:pPr>
      <w:r w:rsidRPr="00BA1528">
        <w:rPr>
          <w:rFonts w:ascii="Arial" w:eastAsia="Times New Roman" w:hAnsi="Arial" w:cs="Arial"/>
          <w:lang w:eastAsia="en-GB"/>
        </w:rPr>
        <w:t xml:space="preserve">The issues raised by representations and the Council’s response are summarised in Appendix 1 which is appended to this report. </w:t>
      </w:r>
      <w:r w:rsidR="002B5C88">
        <w:rPr>
          <w:rFonts w:ascii="Arial" w:eastAsia="Times New Roman" w:hAnsi="Arial" w:cs="Arial"/>
          <w:lang w:eastAsia="en-GB"/>
        </w:rPr>
        <w:t xml:space="preserve">The comments were </w:t>
      </w:r>
      <w:r w:rsidR="008310CC">
        <w:rPr>
          <w:rFonts w:ascii="Arial" w:eastAsia="Times New Roman" w:hAnsi="Arial" w:cs="Arial"/>
          <w:lang w:eastAsia="en-GB"/>
        </w:rPr>
        <w:t xml:space="preserve">addressed in consultation with consultation authorities, given the largely technical nature of the updated SG. </w:t>
      </w:r>
    </w:p>
    <w:p w14:paraId="78AECEFF" w14:textId="77777777" w:rsidR="00BA1528" w:rsidRPr="00BA1528" w:rsidRDefault="00BA1528" w:rsidP="008310CC">
      <w:pPr>
        <w:spacing w:after="0" w:line="240" w:lineRule="auto"/>
        <w:jc w:val="both"/>
        <w:rPr>
          <w:rFonts w:ascii="Arial" w:eastAsia="Times New Roman" w:hAnsi="Arial" w:cs="Arial"/>
          <w:lang w:eastAsia="en-GB"/>
        </w:rPr>
      </w:pPr>
    </w:p>
    <w:p w14:paraId="654802CC" w14:textId="77777777" w:rsidR="00BA1528" w:rsidRPr="00BA1528" w:rsidRDefault="00BA1528" w:rsidP="00BA1528">
      <w:pPr>
        <w:spacing w:after="0" w:line="240" w:lineRule="auto"/>
        <w:jc w:val="both"/>
        <w:rPr>
          <w:rFonts w:ascii="Arial" w:eastAsia="Times New Roman" w:hAnsi="Arial" w:cs="Arial"/>
          <w:b/>
          <w:lang w:eastAsia="en-GB"/>
        </w:rPr>
      </w:pPr>
      <w:r w:rsidRPr="00BA1528">
        <w:rPr>
          <w:rFonts w:ascii="Arial" w:eastAsia="Times New Roman" w:hAnsi="Arial" w:cs="Arial"/>
          <w:b/>
          <w:lang w:eastAsia="en-GB"/>
        </w:rPr>
        <w:t>5.</w:t>
      </w:r>
      <w:r w:rsidRPr="00BA1528">
        <w:rPr>
          <w:rFonts w:ascii="Arial" w:eastAsia="Times New Roman" w:hAnsi="Arial" w:cs="Arial"/>
          <w:b/>
          <w:lang w:eastAsia="en-GB"/>
        </w:rPr>
        <w:tab/>
        <w:t>Conclusion</w:t>
      </w:r>
    </w:p>
    <w:p w14:paraId="16A0372F" w14:textId="77777777" w:rsidR="00BA1528" w:rsidRPr="00BA1528" w:rsidRDefault="00BA1528" w:rsidP="00BA1528">
      <w:pPr>
        <w:widowControl w:val="0"/>
        <w:kinsoku w:val="0"/>
        <w:overflowPunct w:val="0"/>
        <w:autoSpaceDE w:val="0"/>
        <w:autoSpaceDN w:val="0"/>
        <w:adjustRightInd w:val="0"/>
        <w:spacing w:after="0" w:line="240" w:lineRule="auto"/>
        <w:rPr>
          <w:rFonts w:ascii="Arial" w:eastAsia="Times New Roman" w:hAnsi="Arial" w:cs="Arial"/>
          <w:lang w:eastAsia="en-GB"/>
        </w:rPr>
      </w:pPr>
    </w:p>
    <w:p w14:paraId="1B71CF35" w14:textId="50644D8E" w:rsidR="00BA1528" w:rsidRDefault="00BA1528" w:rsidP="008310CC">
      <w:pPr>
        <w:widowControl w:val="0"/>
        <w:kinsoku w:val="0"/>
        <w:overflowPunct w:val="0"/>
        <w:autoSpaceDE w:val="0"/>
        <w:autoSpaceDN w:val="0"/>
        <w:adjustRightInd w:val="0"/>
        <w:spacing w:line="240" w:lineRule="auto"/>
        <w:ind w:left="720" w:hanging="720"/>
        <w:rPr>
          <w:rFonts w:ascii="Arial" w:eastAsia="Times New Roman" w:hAnsi="Arial" w:cs="Arial"/>
          <w:lang w:eastAsia="en-GB"/>
        </w:rPr>
      </w:pPr>
      <w:r w:rsidRPr="00BA1528">
        <w:rPr>
          <w:rFonts w:ascii="Arial" w:eastAsia="Times New Roman" w:hAnsi="Arial" w:cs="Arial"/>
          <w:lang w:eastAsia="en-GB"/>
        </w:rPr>
        <w:t>5.1</w:t>
      </w:r>
      <w:r w:rsidRPr="00BA1528">
        <w:rPr>
          <w:rFonts w:ascii="Arial" w:eastAsia="Times New Roman" w:hAnsi="Arial" w:cs="Arial"/>
          <w:lang w:eastAsia="en-GB"/>
        </w:rPr>
        <w:tab/>
      </w:r>
      <w:r w:rsidR="008310CC">
        <w:rPr>
          <w:rFonts w:ascii="Arial" w:eastAsia="Times New Roman" w:hAnsi="Arial" w:cs="Arial"/>
          <w:lang w:eastAsia="en-GB"/>
        </w:rPr>
        <w:t xml:space="preserve">SG11 </w:t>
      </w:r>
      <w:r w:rsidR="008310CC" w:rsidRPr="008310CC">
        <w:rPr>
          <w:rFonts w:ascii="Arial" w:eastAsia="Times New Roman" w:hAnsi="Arial" w:cs="Arial"/>
          <w:lang w:eastAsia="en-GB"/>
        </w:rPr>
        <w:t xml:space="preserve">Frontiers of the Roman Empire (Antonine Wall) World Heritage Site </w:t>
      </w:r>
      <w:r w:rsidRPr="00BA1528">
        <w:rPr>
          <w:rFonts w:ascii="Arial" w:eastAsia="Times New Roman" w:hAnsi="Arial" w:cs="Arial"/>
          <w:lang w:eastAsia="en-GB"/>
        </w:rPr>
        <w:t>has been subject to publicity through mailshots to relevant consultees, local press advertisements, social media announcement and the Council’s website. The document has been made available on a dedicated webpage on the Council’s website. All consultation comments received have been thoroughly considered by Council officers, with the response recorded in Appendix 1. Minor textual changes have been made in relation to some comments. Where changes have not been made, justification has been provided.</w:t>
      </w:r>
    </w:p>
    <w:p w14:paraId="3DFDCC4A" w14:textId="77777777" w:rsidR="00BE58E2" w:rsidRDefault="00BE58E2" w:rsidP="008310CC">
      <w:pPr>
        <w:widowControl w:val="0"/>
        <w:kinsoku w:val="0"/>
        <w:overflowPunct w:val="0"/>
        <w:autoSpaceDE w:val="0"/>
        <w:autoSpaceDN w:val="0"/>
        <w:adjustRightInd w:val="0"/>
        <w:spacing w:line="240" w:lineRule="auto"/>
        <w:ind w:left="720" w:hanging="720"/>
        <w:rPr>
          <w:rFonts w:ascii="Arial" w:eastAsia="Times New Roman" w:hAnsi="Arial" w:cs="Arial"/>
          <w:lang w:eastAsia="en-GB"/>
        </w:rPr>
      </w:pPr>
    </w:p>
    <w:p w14:paraId="3E36DF95" w14:textId="77777777" w:rsidR="00BE58E2" w:rsidRDefault="00BE58E2" w:rsidP="008310CC">
      <w:pPr>
        <w:widowControl w:val="0"/>
        <w:kinsoku w:val="0"/>
        <w:overflowPunct w:val="0"/>
        <w:autoSpaceDE w:val="0"/>
        <w:autoSpaceDN w:val="0"/>
        <w:adjustRightInd w:val="0"/>
        <w:spacing w:line="240" w:lineRule="auto"/>
        <w:ind w:left="720" w:hanging="720"/>
        <w:rPr>
          <w:rFonts w:ascii="Arial" w:eastAsia="Times New Roman" w:hAnsi="Arial" w:cs="Arial"/>
          <w:lang w:eastAsia="en-GB"/>
        </w:rPr>
      </w:pPr>
    </w:p>
    <w:p w14:paraId="69882C7C" w14:textId="77777777" w:rsidR="00BE58E2" w:rsidRDefault="00BE58E2" w:rsidP="008310CC">
      <w:pPr>
        <w:widowControl w:val="0"/>
        <w:kinsoku w:val="0"/>
        <w:overflowPunct w:val="0"/>
        <w:autoSpaceDE w:val="0"/>
        <w:autoSpaceDN w:val="0"/>
        <w:adjustRightInd w:val="0"/>
        <w:spacing w:line="240" w:lineRule="auto"/>
        <w:ind w:left="720" w:hanging="720"/>
        <w:rPr>
          <w:rFonts w:ascii="Arial" w:eastAsia="Times New Roman" w:hAnsi="Arial" w:cs="Arial"/>
          <w:lang w:eastAsia="en-GB"/>
        </w:rPr>
      </w:pPr>
    </w:p>
    <w:p w14:paraId="3CB9AB9F" w14:textId="6A8D181D" w:rsidR="000B4E59" w:rsidRPr="00BE58E2" w:rsidRDefault="00BE58E2" w:rsidP="000B4E59">
      <w:pPr>
        <w:spacing w:line="240" w:lineRule="auto"/>
        <w:rPr>
          <w:b/>
          <w:bCs/>
          <w:color w:val="2E74B5" w:themeColor="accent1" w:themeShade="BF"/>
          <w:lang w:eastAsia="en-GB"/>
        </w:rPr>
      </w:pPr>
      <w:r w:rsidRPr="00BE58E2">
        <w:rPr>
          <w:rFonts w:ascii="Arial" w:eastAsia="Times New Roman" w:hAnsi="Arial" w:cs="Arial"/>
          <w:b/>
          <w:bCs/>
          <w:color w:val="2E74B5" w:themeColor="accent1" w:themeShade="BF"/>
          <w:lang w:eastAsia="en-GB"/>
        </w:rPr>
        <w:lastRenderedPageBreak/>
        <w:t>Appendix 1</w:t>
      </w:r>
    </w:p>
    <w:p w14:paraId="39F9CED9" w14:textId="330028F6" w:rsidR="009659CA" w:rsidRPr="009659CA" w:rsidRDefault="009659CA" w:rsidP="000B4E59">
      <w:pPr>
        <w:spacing w:line="240" w:lineRule="auto"/>
        <w:rPr>
          <w:rFonts w:eastAsia="Times New Roman" w:cstheme="minorHAnsi"/>
          <w:lang w:eastAsia="en-GB"/>
        </w:rPr>
      </w:pPr>
    </w:p>
    <w:tbl>
      <w:tblPr>
        <w:tblStyle w:val="TableGrid4"/>
        <w:tblW w:w="0" w:type="auto"/>
        <w:tblInd w:w="-5" w:type="dxa"/>
        <w:tblLook w:val="04A0" w:firstRow="1" w:lastRow="0" w:firstColumn="1" w:lastColumn="0" w:noHBand="0" w:noVBand="1"/>
        <w:tblCaption w:val="Update to current guidance"/>
        <w:tblDescription w:val="Update to current guidance"/>
      </w:tblPr>
      <w:tblGrid>
        <w:gridCol w:w="6379"/>
        <w:gridCol w:w="7088"/>
      </w:tblGrid>
      <w:tr w:rsidR="009659CA" w:rsidRPr="00FB603A" w14:paraId="5DC5F0B0" w14:textId="77777777" w:rsidTr="00CC4395">
        <w:trPr>
          <w:tblHeader/>
        </w:trPr>
        <w:tc>
          <w:tcPr>
            <w:tcW w:w="6379" w:type="dxa"/>
          </w:tcPr>
          <w:p w14:paraId="3F813DBD" w14:textId="77777777" w:rsidR="009659CA" w:rsidRPr="00EE5AC3" w:rsidRDefault="009659CA" w:rsidP="00FB603A">
            <w:pPr>
              <w:spacing w:before="120" w:after="120"/>
              <w:rPr>
                <w:rFonts w:eastAsia="Times New Roman" w:cstheme="minorHAnsi"/>
                <w:b/>
                <w:lang w:eastAsia="en-GB"/>
              </w:rPr>
            </w:pPr>
            <w:r w:rsidRPr="00EE5AC3">
              <w:rPr>
                <w:rFonts w:eastAsia="Times New Roman" w:cstheme="minorHAnsi"/>
                <w:b/>
                <w:lang w:eastAsia="en-GB"/>
              </w:rPr>
              <w:t xml:space="preserve">What Guidance Sets Out </w:t>
            </w:r>
          </w:p>
        </w:tc>
        <w:tc>
          <w:tcPr>
            <w:tcW w:w="7088" w:type="dxa"/>
          </w:tcPr>
          <w:p w14:paraId="5C2A4C82" w14:textId="77777777" w:rsidR="009659CA" w:rsidRPr="00EE5AC3" w:rsidRDefault="009659CA" w:rsidP="00FB603A">
            <w:pPr>
              <w:spacing w:before="120" w:after="120"/>
              <w:rPr>
                <w:rFonts w:eastAsia="Times New Roman" w:cstheme="minorHAnsi"/>
                <w:b/>
                <w:lang w:eastAsia="en-GB"/>
              </w:rPr>
            </w:pPr>
            <w:r w:rsidRPr="00EE5AC3">
              <w:rPr>
                <w:rFonts w:eastAsia="Times New Roman" w:cstheme="minorHAnsi"/>
                <w:b/>
                <w:lang w:eastAsia="en-GB"/>
              </w:rPr>
              <w:t>Summary of Changes</w:t>
            </w:r>
          </w:p>
        </w:tc>
      </w:tr>
      <w:tr w:rsidR="009659CA" w:rsidRPr="00FB603A" w14:paraId="16D7E3B3" w14:textId="77777777" w:rsidTr="000B4E59">
        <w:tc>
          <w:tcPr>
            <w:tcW w:w="6379" w:type="dxa"/>
          </w:tcPr>
          <w:p w14:paraId="0DAF8B7F" w14:textId="77777777" w:rsidR="009659CA" w:rsidRPr="00EE5AC3" w:rsidRDefault="009659CA" w:rsidP="00FB603A">
            <w:pPr>
              <w:ind w:left="33"/>
              <w:contextualSpacing/>
              <w:rPr>
                <w:rFonts w:eastAsia="Times New Roman" w:cstheme="minorHAnsi"/>
                <w:lang w:eastAsia="en-GB"/>
              </w:rPr>
            </w:pPr>
            <w:r w:rsidRPr="00EE5AC3">
              <w:rPr>
                <w:rFonts w:eastAsia="Times New Roman" w:cstheme="minorHAnsi"/>
                <w:lang w:eastAsia="en-GB"/>
              </w:rPr>
              <w:t>The guidance provides the following information to support the consideration of applications affecting the wall and buffer:</w:t>
            </w:r>
          </w:p>
          <w:p w14:paraId="22874EC5" w14:textId="77777777" w:rsidR="009659CA" w:rsidRPr="00EE5AC3" w:rsidRDefault="009659CA" w:rsidP="00095863">
            <w:pPr>
              <w:numPr>
                <w:ilvl w:val="0"/>
                <w:numId w:val="19"/>
              </w:numPr>
              <w:ind w:left="325" w:hanging="292"/>
              <w:contextualSpacing/>
              <w:rPr>
                <w:rFonts w:eastAsia="Times New Roman" w:cstheme="minorHAnsi"/>
                <w:lang w:eastAsia="en-GB"/>
              </w:rPr>
            </w:pPr>
            <w:r w:rsidRPr="00EE5AC3">
              <w:rPr>
                <w:rFonts w:eastAsia="Times New Roman" w:cstheme="minorHAnsi"/>
                <w:lang w:eastAsia="en-GB"/>
              </w:rPr>
              <w:t>Further detail on the background, context and protection of the wall.</w:t>
            </w:r>
          </w:p>
          <w:p w14:paraId="3BE5A7EB" w14:textId="77777777" w:rsidR="009659CA" w:rsidRPr="00EE5AC3" w:rsidRDefault="009659CA" w:rsidP="00095863">
            <w:pPr>
              <w:numPr>
                <w:ilvl w:val="0"/>
                <w:numId w:val="19"/>
              </w:numPr>
              <w:ind w:left="325" w:hanging="292"/>
              <w:contextualSpacing/>
              <w:rPr>
                <w:rFonts w:eastAsia="Times New Roman" w:cstheme="minorHAnsi"/>
                <w:lang w:eastAsia="en-GB"/>
              </w:rPr>
            </w:pPr>
            <w:r w:rsidRPr="00EE5AC3">
              <w:rPr>
                <w:rFonts w:eastAsia="Times New Roman" w:cstheme="minorHAnsi"/>
                <w:lang w:eastAsia="en-GB"/>
              </w:rPr>
              <w:t>Guidance on the key stages of the application process including pre-application discussions and undertaking a site audit.</w:t>
            </w:r>
          </w:p>
          <w:p w14:paraId="7467BFBB" w14:textId="77777777" w:rsidR="009659CA" w:rsidRPr="00EE5AC3" w:rsidRDefault="009659CA" w:rsidP="00095863">
            <w:pPr>
              <w:numPr>
                <w:ilvl w:val="0"/>
                <w:numId w:val="19"/>
              </w:numPr>
              <w:ind w:left="325" w:hanging="292"/>
              <w:contextualSpacing/>
              <w:rPr>
                <w:rFonts w:eastAsia="Times New Roman" w:cstheme="minorHAnsi"/>
                <w:lang w:eastAsia="en-GB"/>
              </w:rPr>
            </w:pPr>
            <w:r w:rsidRPr="00EE5AC3">
              <w:rPr>
                <w:rFonts w:eastAsia="Times New Roman" w:cstheme="minorHAnsi"/>
                <w:lang w:eastAsia="en-GB"/>
              </w:rPr>
              <w:t>Assessing the impact of development.</w:t>
            </w:r>
          </w:p>
          <w:p w14:paraId="4B334F36" w14:textId="77777777" w:rsidR="009659CA" w:rsidRPr="00EE5AC3" w:rsidRDefault="009659CA" w:rsidP="00095863">
            <w:pPr>
              <w:numPr>
                <w:ilvl w:val="0"/>
                <w:numId w:val="19"/>
              </w:numPr>
              <w:ind w:left="325" w:hanging="292"/>
              <w:contextualSpacing/>
              <w:rPr>
                <w:rFonts w:eastAsia="Times New Roman" w:cstheme="minorHAnsi"/>
                <w:lang w:eastAsia="en-GB"/>
              </w:rPr>
            </w:pPr>
            <w:r w:rsidRPr="00EE5AC3">
              <w:rPr>
                <w:rFonts w:eastAsia="Times New Roman" w:cstheme="minorHAnsi"/>
                <w:lang w:eastAsia="en-GB"/>
              </w:rPr>
              <w:t xml:space="preserve">Design criteria and how impacts can be mitigated. </w:t>
            </w:r>
          </w:p>
        </w:tc>
        <w:tc>
          <w:tcPr>
            <w:tcW w:w="7088" w:type="dxa"/>
          </w:tcPr>
          <w:p w14:paraId="0A72A236" w14:textId="77777777" w:rsidR="009659CA" w:rsidRPr="00EE5AC3" w:rsidRDefault="009659CA" w:rsidP="00FB603A">
            <w:pPr>
              <w:rPr>
                <w:rFonts w:eastAsia="Times New Roman" w:cstheme="minorHAnsi"/>
                <w:lang w:eastAsia="en-GB"/>
              </w:rPr>
            </w:pPr>
            <w:r w:rsidRPr="00EE5AC3">
              <w:rPr>
                <w:rFonts w:eastAsia="Times New Roman" w:cstheme="minorHAnsi"/>
                <w:lang w:eastAsia="en-GB"/>
              </w:rPr>
              <w:t>The draft guidance seeks to update and replace the current guidance which was prepared in 2010.</w:t>
            </w:r>
          </w:p>
          <w:p w14:paraId="6AC5B20E" w14:textId="77777777" w:rsidR="009659CA" w:rsidRPr="00EE5AC3" w:rsidRDefault="009659CA" w:rsidP="00FB603A">
            <w:pPr>
              <w:rPr>
                <w:rFonts w:eastAsia="Times New Roman" w:cstheme="minorHAnsi"/>
                <w:lang w:eastAsia="en-GB"/>
              </w:rPr>
            </w:pPr>
          </w:p>
          <w:p w14:paraId="3D4CA505" w14:textId="77777777" w:rsidR="009659CA" w:rsidRPr="00EE5AC3" w:rsidRDefault="009659CA" w:rsidP="00FB603A">
            <w:pPr>
              <w:rPr>
                <w:rFonts w:eastAsia="Times New Roman" w:cstheme="minorHAnsi"/>
                <w:lang w:eastAsia="en-GB"/>
              </w:rPr>
            </w:pPr>
            <w:r w:rsidRPr="00EE5AC3">
              <w:rPr>
                <w:rFonts w:eastAsia="Times New Roman" w:cstheme="minorHAnsi"/>
                <w:lang w:eastAsia="en-GB"/>
              </w:rPr>
              <w:t>The changes are minor in nature and include:</w:t>
            </w:r>
          </w:p>
          <w:p w14:paraId="406373E1" w14:textId="77777777" w:rsidR="009659CA" w:rsidRPr="00EE5AC3" w:rsidRDefault="009659CA" w:rsidP="00095863">
            <w:pPr>
              <w:numPr>
                <w:ilvl w:val="0"/>
                <w:numId w:val="19"/>
              </w:numPr>
              <w:ind w:left="325" w:hanging="284"/>
              <w:contextualSpacing/>
              <w:rPr>
                <w:rFonts w:eastAsia="Times New Roman" w:cstheme="minorHAnsi"/>
                <w:lang w:eastAsia="en-GB"/>
              </w:rPr>
            </w:pPr>
            <w:r w:rsidRPr="00EE5AC3">
              <w:rPr>
                <w:rFonts w:eastAsia="Times New Roman" w:cstheme="minorHAnsi"/>
                <w:lang w:eastAsia="en-GB"/>
              </w:rPr>
              <w:t>Wording changes in the site audit section.</w:t>
            </w:r>
          </w:p>
          <w:p w14:paraId="42614805" w14:textId="77777777" w:rsidR="009659CA" w:rsidRPr="00EE5AC3" w:rsidRDefault="009659CA" w:rsidP="00095863">
            <w:pPr>
              <w:numPr>
                <w:ilvl w:val="0"/>
                <w:numId w:val="19"/>
              </w:numPr>
              <w:ind w:left="325" w:hanging="284"/>
              <w:contextualSpacing/>
              <w:rPr>
                <w:rFonts w:eastAsia="Times New Roman" w:cstheme="minorHAnsi"/>
                <w:lang w:eastAsia="en-GB"/>
              </w:rPr>
            </w:pPr>
            <w:r w:rsidRPr="00EE5AC3">
              <w:rPr>
                <w:rFonts w:eastAsia="Times New Roman" w:cstheme="minorHAnsi"/>
                <w:lang w:eastAsia="en-GB"/>
              </w:rPr>
              <w:t xml:space="preserve">Wording changes regarding impacts on the setting of the wall. </w:t>
            </w:r>
          </w:p>
          <w:p w14:paraId="2914B405" w14:textId="77777777" w:rsidR="009659CA" w:rsidRPr="00EE5AC3" w:rsidRDefault="009659CA" w:rsidP="00095863">
            <w:pPr>
              <w:numPr>
                <w:ilvl w:val="0"/>
                <w:numId w:val="19"/>
              </w:numPr>
              <w:ind w:left="325" w:hanging="284"/>
              <w:contextualSpacing/>
              <w:rPr>
                <w:rFonts w:eastAsia="Times New Roman" w:cstheme="minorHAnsi"/>
                <w:lang w:eastAsia="en-GB"/>
              </w:rPr>
            </w:pPr>
            <w:r w:rsidRPr="00EE5AC3">
              <w:rPr>
                <w:rFonts w:eastAsia="Times New Roman" w:cstheme="minorHAnsi"/>
                <w:lang w:eastAsia="en-GB"/>
              </w:rPr>
              <w:t>Wording changes regarding design criteria.</w:t>
            </w:r>
          </w:p>
          <w:p w14:paraId="1A4AF33E" w14:textId="77777777" w:rsidR="009659CA" w:rsidRPr="00EE5AC3" w:rsidRDefault="009659CA" w:rsidP="00095863">
            <w:pPr>
              <w:numPr>
                <w:ilvl w:val="0"/>
                <w:numId w:val="19"/>
              </w:numPr>
              <w:ind w:left="325" w:hanging="284"/>
              <w:contextualSpacing/>
              <w:rPr>
                <w:rFonts w:eastAsia="Times New Roman" w:cstheme="minorHAnsi"/>
                <w:lang w:eastAsia="en-GB"/>
              </w:rPr>
            </w:pPr>
            <w:r w:rsidRPr="00EE5AC3">
              <w:rPr>
                <w:rFonts w:eastAsia="Times New Roman" w:cstheme="minorHAnsi"/>
                <w:lang w:eastAsia="en-GB"/>
              </w:rPr>
              <w:t>Adding a glossary of terms.</w:t>
            </w:r>
          </w:p>
          <w:p w14:paraId="486259AE" w14:textId="77777777" w:rsidR="009659CA" w:rsidRDefault="009659CA" w:rsidP="00095863">
            <w:pPr>
              <w:numPr>
                <w:ilvl w:val="0"/>
                <w:numId w:val="19"/>
              </w:numPr>
              <w:ind w:left="325" w:hanging="284"/>
              <w:contextualSpacing/>
              <w:rPr>
                <w:rFonts w:eastAsia="Times New Roman" w:cstheme="minorHAnsi"/>
                <w:lang w:eastAsia="en-GB"/>
              </w:rPr>
            </w:pPr>
            <w:r w:rsidRPr="00EE5AC3">
              <w:rPr>
                <w:rFonts w:eastAsia="Times New Roman" w:cstheme="minorHAnsi"/>
                <w:lang w:eastAsia="en-GB"/>
              </w:rPr>
              <w:t>Updating references to Historic Environment Scotland and guidance.</w:t>
            </w:r>
          </w:p>
          <w:p w14:paraId="64652181" w14:textId="5DCB1513" w:rsidR="003336DD" w:rsidRPr="00EE5AC3" w:rsidRDefault="003336DD" w:rsidP="00095863">
            <w:pPr>
              <w:numPr>
                <w:ilvl w:val="0"/>
                <w:numId w:val="19"/>
              </w:numPr>
              <w:ind w:left="325" w:hanging="284"/>
              <w:contextualSpacing/>
              <w:rPr>
                <w:rFonts w:eastAsia="Times New Roman" w:cstheme="minorHAnsi"/>
                <w:lang w:eastAsia="en-GB"/>
              </w:rPr>
            </w:pPr>
            <w:r>
              <w:rPr>
                <w:rFonts w:eastAsia="Times New Roman" w:cstheme="minorHAnsi"/>
                <w:lang w:eastAsia="en-GB"/>
              </w:rPr>
              <w:t>Updating references to National Planning Framework 4.</w:t>
            </w:r>
          </w:p>
          <w:p w14:paraId="00173EFB" w14:textId="77777777" w:rsidR="009659CA" w:rsidRPr="00EE5AC3" w:rsidRDefault="009659CA" w:rsidP="00FB603A">
            <w:pPr>
              <w:rPr>
                <w:rFonts w:eastAsia="Times New Roman" w:cstheme="minorHAnsi"/>
                <w:lang w:eastAsia="en-GB"/>
              </w:rPr>
            </w:pPr>
          </w:p>
        </w:tc>
      </w:tr>
    </w:tbl>
    <w:p w14:paraId="1AC920D4" w14:textId="6C3B7AA5" w:rsidR="00B12A35" w:rsidRPr="00DA7ECD" w:rsidRDefault="00FB603A" w:rsidP="00DA7ECD">
      <w:pPr>
        <w:rPr>
          <w:rFonts w:ascii="Arial" w:eastAsia="Times New Roman" w:hAnsi="Arial" w:cs="Arial"/>
          <w:b/>
          <w:lang w:eastAsia="en-GB"/>
        </w:rPr>
      </w:pPr>
      <w:r w:rsidRPr="00FB603A">
        <w:rPr>
          <w:rFonts w:ascii="Arial" w:eastAsia="Times New Roman" w:hAnsi="Arial" w:cs="Arial"/>
          <w:b/>
          <w:lang w:eastAsia="en-GB"/>
        </w:rPr>
        <w:br w:type="page"/>
      </w:r>
    </w:p>
    <w:p w14:paraId="30FD1B1D" w14:textId="41E30FD7" w:rsidR="00B12A35" w:rsidRPr="00013881" w:rsidRDefault="00B12A35" w:rsidP="009975B1">
      <w:pPr>
        <w:pStyle w:val="Heading3"/>
        <w:rPr>
          <w:rFonts w:eastAsia="Times New Roman"/>
          <w:b/>
          <w:sz w:val="32"/>
          <w:szCs w:val="32"/>
          <w:lang w:eastAsia="en-GB"/>
        </w:rPr>
      </w:pPr>
    </w:p>
    <w:tbl>
      <w:tblPr>
        <w:tblStyle w:val="TableGrid7"/>
        <w:tblW w:w="13882" w:type="dxa"/>
        <w:tblInd w:w="5" w:type="dxa"/>
        <w:tblLayout w:type="fixed"/>
        <w:tblLook w:val="04A0" w:firstRow="1" w:lastRow="0" w:firstColumn="1" w:lastColumn="0" w:noHBand="0" w:noVBand="1"/>
        <w:tblCaption w:val="FRE Antonine Wall"/>
        <w:tblDescription w:val="Summary of response"/>
      </w:tblPr>
      <w:tblGrid>
        <w:gridCol w:w="2518"/>
        <w:gridCol w:w="5127"/>
        <w:gridCol w:w="6237"/>
      </w:tblGrid>
      <w:tr w:rsidR="001E2595" w:rsidRPr="00B12A35" w14:paraId="7A8D718D" w14:textId="77777777" w:rsidTr="000553E6">
        <w:trPr>
          <w:tblHeader/>
        </w:trPr>
        <w:tc>
          <w:tcPr>
            <w:tcW w:w="2518" w:type="dxa"/>
            <w:shd w:val="clear" w:color="auto" w:fill="A6A6A6" w:themeFill="background1" w:themeFillShade="A6"/>
          </w:tcPr>
          <w:p w14:paraId="790606EA" w14:textId="77777777" w:rsidR="001E2595" w:rsidRPr="005B3DEC" w:rsidRDefault="001E2595" w:rsidP="00B12A35">
            <w:pPr>
              <w:rPr>
                <w:b/>
                <w:bCs/>
                <w:color w:val="3B3838" w:themeColor="background2" w:themeShade="40"/>
                <w:sz w:val="24"/>
                <w:szCs w:val="24"/>
              </w:rPr>
            </w:pPr>
            <w:r w:rsidRPr="005B3DEC">
              <w:rPr>
                <w:b/>
                <w:bCs/>
                <w:color w:val="3B3838" w:themeColor="background2" w:themeShade="40"/>
                <w:sz w:val="24"/>
                <w:szCs w:val="24"/>
              </w:rPr>
              <w:t>Respondent</w:t>
            </w:r>
          </w:p>
        </w:tc>
        <w:tc>
          <w:tcPr>
            <w:tcW w:w="5127" w:type="dxa"/>
            <w:shd w:val="clear" w:color="auto" w:fill="A6A6A6" w:themeFill="background1" w:themeFillShade="A6"/>
          </w:tcPr>
          <w:p w14:paraId="774447F9" w14:textId="77777777" w:rsidR="001E2595" w:rsidRPr="005B3DEC" w:rsidRDefault="001E2595" w:rsidP="00B12A35">
            <w:pPr>
              <w:rPr>
                <w:b/>
                <w:bCs/>
                <w:color w:val="3B3838" w:themeColor="background2" w:themeShade="40"/>
                <w:sz w:val="24"/>
                <w:szCs w:val="24"/>
              </w:rPr>
            </w:pPr>
            <w:r w:rsidRPr="005B3DEC">
              <w:rPr>
                <w:b/>
                <w:bCs/>
                <w:color w:val="3B3838" w:themeColor="background2" w:themeShade="40"/>
                <w:sz w:val="24"/>
                <w:szCs w:val="24"/>
              </w:rPr>
              <w:t>Summary of Response</w:t>
            </w:r>
          </w:p>
        </w:tc>
        <w:tc>
          <w:tcPr>
            <w:tcW w:w="6237" w:type="dxa"/>
            <w:shd w:val="clear" w:color="auto" w:fill="A6A6A6" w:themeFill="background1" w:themeFillShade="A6"/>
          </w:tcPr>
          <w:p w14:paraId="118A1D29" w14:textId="77777777" w:rsidR="001E2595" w:rsidRPr="005B3DEC" w:rsidRDefault="001E2595" w:rsidP="00B12A35">
            <w:pPr>
              <w:rPr>
                <w:b/>
                <w:bCs/>
                <w:color w:val="3B3838" w:themeColor="background2" w:themeShade="40"/>
                <w:sz w:val="24"/>
                <w:szCs w:val="24"/>
              </w:rPr>
            </w:pPr>
            <w:r w:rsidRPr="005B3DEC">
              <w:rPr>
                <w:b/>
                <w:bCs/>
                <w:color w:val="3B3838" w:themeColor="background2" w:themeShade="40"/>
                <w:sz w:val="24"/>
                <w:szCs w:val="24"/>
              </w:rPr>
              <w:t>Council Response</w:t>
            </w:r>
          </w:p>
        </w:tc>
      </w:tr>
      <w:tr w:rsidR="001E2595" w:rsidRPr="00B12A35" w14:paraId="106A5E68" w14:textId="77777777" w:rsidTr="00F42294">
        <w:tc>
          <w:tcPr>
            <w:tcW w:w="2518" w:type="dxa"/>
          </w:tcPr>
          <w:p w14:paraId="1F4A2F40" w14:textId="77777777" w:rsidR="001E2595" w:rsidRPr="00B12A35" w:rsidRDefault="001E2595" w:rsidP="00B12A35">
            <w:pPr>
              <w:rPr>
                <w:b/>
              </w:rPr>
            </w:pPr>
            <w:r w:rsidRPr="00B12A35">
              <w:rPr>
                <w:b/>
              </w:rPr>
              <w:t>Nature Scot</w:t>
            </w:r>
          </w:p>
        </w:tc>
        <w:tc>
          <w:tcPr>
            <w:tcW w:w="5127" w:type="dxa"/>
          </w:tcPr>
          <w:p w14:paraId="7C037BFE" w14:textId="77777777" w:rsidR="001E2595" w:rsidRPr="00B12A35" w:rsidRDefault="001E2595" w:rsidP="00B12A35">
            <w:r w:rsidRPr="00B12A35">
              <w:t>We note the content of the document and the proposed minor changes as highlighted in the Summary Booklet and revised guidance document. We understand that these updates will provide further useful information and clarity for users of the guidance; one of the purposes of</w:t>
            </w:r>
          </w:p>
          <w:p w14:paraId="2CB8C5FF" w14:textId="77777777" w:rsidR="001E2595" w:rsidRPr="00B12A35" w:rsidRDefault="001E2595" w:rsidP="00B12A35">
            <w:r w:rsidRPr="00B12A35">
              <w:t>which is to encourage effective consultation with the Councils and primarily, Historic Environment Scotland and to assist in the consideration of development proposals affecting the wall and its setting.</w:t>
            </w:r>
          </w:p>
          <w:p w14:paraId="479091E4" w14:textId="77777777" w:rsidR="001E2595" w:rsidRPr="00B12A35" w:rsidRDefault="001E2595" w:rsidP="00B12A35"/>
        </w:tc>
        <w:tc>
          <w:tcPr>
            <w:tcW w:w="6237" w:type="dxa"/>
          </w:tcPr>
          <w:p w14:paraId="1039B1E5" w14:textId="396F3432" w:rsidR="001E2595" w:rsidRPr="00B12A35" w:rsidRDefault="001E2595" w:rsidP="00B12A35">
            <w:r w:rsidRPr="00B12A35">
              <w:t>Noted</w:t>
            </w:r>
            <w:r w:rsidR="00537A01">
              <w:t>.</w:t>
            </w:r>
            <w:r w:rsidR="00771157">
              <w:t xml:space="preserve"> No change required.</w:t>
            </w:r>
          </w:p>
        </w:tc>
      </w:tr>
      <w:tr w:rsidR="001E2595" w:rsidRPr="00B12A35" w14:paraId="2BB03BAC" w14:textId="77777777" w:rsidTr="00F42294">
        <w:tc>
          <w:tcPr>
            <w:tcW w:w="2518" w:type="dxa"/>
          </w:tcPr>
          <w:p w14:paraId="5BB488CE" w14:textId="77777777" w:rsidR="001E2595" w:rsidRPr="00B12A35" w:rsidRDefault="001E2595" w:rsidP="00B12A35">
            <w:pPr>
              <w:rPr>
                <w:b/>
              </w:rPr>
            </w:pPr>
            <w:r w:rsidRPr="00B12A35">
              <w:rPr>
                <w:b/>
              </w:rPr>
              <w:t>Scottish Government</w:t>
            </w:r>
          </w:p>
        </w:tc>
        <w:tc>
          <w:tcPr>
            <w:tcW w:w="5127" w:type="dxa"/>
          </w:tcPr>
          <w:p w14:paraId="37F13C8D" w14:textId="0A5F5652" w:rsidR="001E2595" w:rsidRPr="00B12A35" w:rsidRDefault="001E2595" w:rsidP="00B12A35">
            <w:pPr>
              <w:numPr>
                <w:ilvl w:val="0"/>
                <w:numId w:val="31"/>
              </w:numPr>
              <w:ind w:left="349" w:hanging="283"/>
              <w:contextualSpacing/>
            </w:pPr>
            <w:r w:rsidRPr="00B12A35">
              <w:t>In section 1.6.2</w:t>
            </w:r>
            <w:r w:rsidR="007D0451">
              <w:t xml:space="preserve"> (now 1.14</w:t>
            </w:r>
            <w:proofErr w:type="gramStart"/>
            <w:r w:rsidR="007D0451">
              <w:t xml:space="preserve">) </w:t>
            </w:r>
            <w:r w:rsidRPr="00B12A35">
              <w:t>,</w:t>
            </w:r>
            <w:proofErr w:type="gramEnd"/>
            <w:r w:rsidRPr="00B12A35">
              <w:t xml:space="preserve"> the outdated historic environment policy is quoted – recommend it read “The Historic Environment Policy for Scotland (HEPS)” sets out Historic Environment Scotland’s policies for historic environment assets and provides policy direction”.</w:t>
            </w:r>
          </w:p>
          <w:p w14:paraId="3CACAE69" w14:textId="77777777" w:rsidR="001E2595" w:rsidRPr="00B12A35" w:rsidRDefault="001E2595" w:rsidP="00B12A35">
            <w:pPr>
              <w:ind w:left="349" w:hanging="283"/>
            </w:pPr>
          </w:p>
          <w:p w14:paraId="47ABCD08" w14:textId="3F3539C6" w:rsidR="001E2595" w:rsidRPr="00B12A35" w:rsidRDefault="001E2595" w:rsidP="00B12A35">
            <w:pPr>
              <w:numPr>
                <w:ilvl w:val="0"/>
                <w:numId w:val="31"/>
              </w:numPr>
              <w:ind w:left="349" w:hanging="283"/>
              <w:contextualSpacing/>
            </w:pPr>
            <w:r w:rsidRPr="00B12A35">
              <w:t>In section 1.6.3</w:t>
            </w:r>
            <w:r w:rsidR="007D0451">
              <w:t xml:space="preserve"> (now 1.15)</w:t>
            </w:r>
            <w:r w:rsidRPr="00B12A35">
              <w:t>, the wording appears confusing and repetitive – perhaps ‘Strategic’ is missing from the beginning of the second sentence and should read ‘Strategic development plans, local dev…etc”</w:t>
            </w:r>
          </w:p>
          <w:p w14:paraId="24E59269" w14:textId="77777777" w:rsidR="001E2595" w:rsidRPr="00B12A35" w:rsidRDefault="001E2595" w:rsidP="00B12A35">
            <w:pPr>
              <w:ind w:left="349" w:hanging="283"/>
            </w:pPr>
          </w:p>
          <w:p w14:paraId="162E8C35" w14:textId="453D2449" w:rsidR="001E2595" w:rsidRPr="00B12A35" w:rsidRDefault="001E2595" w:rsidP="00B12A35">
            <w:pPr>
              <w:numPr>
                <w:ilvl w:val="0"/>
                <w:numId w:val="31"/>
              </w:numPr>
              <w:ind w:left="349" w:hanging="283"/>
              <w:contextualSpacing/>
            </w:pPr>
            <w:r w:rsidRPr="00B12A35">
              <w:t>In section 1.6.5</w:t>
            </w:r>
            <w:r w:rsidR="007D0451">
              <w:t xml:space="preserve"> (now 1.17)</w:t>
            </w:r>
            <w:r w:rsidRPr="00B12A35">
              <w:t>, the reference to Scottish Ministers is inaccurate. Recommend it should read “and requires the prior consent of Historic Environment Scotland”. In addition, section 2.10 is cross-referenced here but doesn’t appear to exist. Does this mean section 2.5?</w:t>
            </w:r>
          </w:p>
          <w:p w14:paraId="12C57A5D" w14:textId="77777777" w:rsidR="001E2595" w:rsidRPr="00B12A35" w:rsidRDefault="001E2595" w:rsidP="00B12A35">
            <w:pPr>
              <w:ind w:left="349" w:hanging="283"/>
            </w:pPr>
          </w:p>
          <w:p w14:paraId="3CF40299" w14:textId="77777777" w:rsidR="001E2595" w:rsidRPr="00B12A35" w:rsidRDefault="001E2595" w:rsidP="00B12A35">
            <w:pPr>
              <w:numPr>
                <w:ilvl w:val="0"/>
                <w:numId w:val="31"/>
              </w:numPr>
              <w:ind w:left="349" w:hanging="283"/>
              <w:contextualSpacing/>
            </w:pPr>
            <w:r w:rsidRPr="00B12A35">
              <w:t xml:space="preserve">In the section 2.2 table, the site audit should also contain a question that identifies what </w:t>
            </w:r>
            <w:proofErr w:type="gramStart"/>
            <w:r w:rsidRPr="00B12A35">
              <w:t>is the cultural significance and historic importance of the existing site characteristics and setting</w:t>
            </w:r>
            <w:proofErr w:type="gramEnd"/>
            <w:r w:rsidRPr="00B12A35">
              <w:t xml:space="preserve">. </w:t>
            </w:r>
          </w:p>
          <w:p w14:paraId="781485FD" w14:textId="77777777" w:rsidR="001E2595" w:rsidRPr="00B12A35" w:rsidRDefault="001E2595" w:rsidP="00B12A35">
            <w:pPr>
              <w:ind w:left="349" w:hanging="283"/>
            </w:pPr>
          </w:p>
          <w:p w14:paraId="46653604" w14:textId="09B5CFE7" w:rsidR="001E2595" w:rsidRPr="00B12A35" w:rsidRDefault="001E2595" w:rsidP="00B12A35">
            <w:pPr>
              <w:numPr>
                <w:ilvl w:val="0"/>
                <w:numId w:val="31"/>
              </w:numPr>
              <w:ind w:left="349" w:hanging="283"/>
              <w:contextualSpacing/>
            </w:pPr>
            <w:r w:rsidRPr="00B12A35">
              <w:t>In section 2.5</w:t>
            </w:r>
            <w:r w:rsidR="007D0451">
              <w:t xml:space="preserve"> (now 2.10)</w:t>
            </w:r>
            <w:r w:rsidRPr="00B12A35">
              <w:t>, there is no adequate information on how to apply for SMC – suggest adding the following to align with paragraph 145 of Scottish Planning Policy (SPP) as Historic Environment Scotland are the consenting authority for direct works affecting Scheduled Monuments – “Any works directly affecting a designated Scheduled Monument requires Scheduled Monument Consent (SMC) which is obtained from Historic Environment Scotland. Advice on the SMC process and requirements should be sought at an early stage from the Heritage Directorate, Historic Environment Scotland”.</w:t>
            </w:r>
          </w:p>
          <w:p w14:paraId="33D62214" w14:textId="77777777" w:rsidR="001E2595" w:rsidRPr="00B12A35" w:rsidRDefault="001E2595" w:rsidP="00B12A35">
            <w:pPr>
              <w:ind w:left="349" w:hanging="283"/>
            </w:pPr>
          </w:p>
          <w:p w14:paraId="38E61EF3" w14:textId="7EA11836" w:rsidR="001E2595" w:rsidRPr="00B12A35" w:rsidRDefault="001E2595" w:rsidP="00B12A35">
            <w:pPr>
              <w:numPr>
                <w:ilvl w:val="0"/>
                <w:numId w:val="31"/>
              </w:numPr>
              <w:ind w:left="349" w:hanging="283"/>
              <w:contextualSpacing/>
            </w:pPr>
            <w:r w:rsidRPr="00B12A35">
              <w:t>In section 2.5.3</w:t>
            </w:r>
            <w:r w:rsidR="007D0451">
              <w:t xml:space="preserve"> (now 2.12)</w:t>
            </w:r>
            <w:r w:rsidRPr="00B12A35">
              <w:t>, the reference to HESP should be changed to HEPS.</w:t>
            </w:r>
          </w:p>
          <w:p w14:paraId="6F3E2744" w14:textId="77777777" w:rsidR="001E2595" w:rsidRPr="00B12A35" w:rsidRDefault="001E2595" w:rsidP="00B12A35">
            <w:pPr>
              <w:ind w:left="349" w:hanging="283"/>
            </w:pPr>
          </w:p>
          <w:p w14:paraId="3E75577C" w14:textId="77777777" w:rsidR="001E2595" w:rsidRPr="00B12A35" w:rsidRDefault="001E2595" w:rsidP="00B12A35">
            <w:pPr>
              <w:numPr>
                <w:ilvl w:val="0"/>
                <w:numId w:val="31"/>
              </w:numPr>
              <w:ind w:left="349" w:hanging="283"/>
              <w:contextualSpacing/>
            </w:pPr>
            <w:r w:rsidRPr="00B12A35">
              <w:t xml:space="preserve">In the Appendix 3 Glossary, the Historic Environment Scotland Policy title should be amended to the Historic Environment Policy for Scotland. The Scheduled Monument definition should include </w:t>
            </w:r>
            <w:proofErr w:type="gramStart"/>
            <w:r w:rsidRPr="00B12A35">
              <w:t>“ A</w:t>
            </w:r>
            <w:proofErr w:type="gramEnd"/>
            <w:r w:rsidRPr="00B12A35">
              <w:t xml:space="preserve"> nationally significant monument…” at the beginning.</w:t>
            </w:r>
          </w:p>
        </w:tc>
        <w:tc>
          <w:tcPr>
            <w:tcW w:w="6237" w:type="dxa"/>
          </w:tcPr>
          <w:p w14:paraId="36AA0C96" w14:textId="4781AD67" w:rsidR="001E2595" w:rsidRDefault="001E2595" w:rsidP="00B12A35">
            <w:pPr>
              <w:numPr>
                <w:ilvl w:val="0"/>
                <w:numId w:val="33"/>
              </w:numPr>
              <w:ind w:left="335" w:hanging="283"/>
              <w:contextualSpacing/>
            </w:pPr>
            <w:r w:rsidRPr="00B12A35">
              <w:lastRenderedPageBreak/>
              <w:t>Change agreed</w:t>
            </w:r>
          </w:p>
          <w:p w14:paraId="54E611EC" w14:textId="77777777" w:rsidR="009E4672" w:rsidRPr="00B12A35" w:rsidRDefault="009E4672" w:rsidP="009E4672">
            <w:pPr>
              <w:ind w:left="335"/>
              <w:contextualSpacing/>
            </w:pPr>
          </w:p>
          <w:p w14:paraId="34B1967B" w14:textId="3E254F75" w:rsidR="001E2595" w:rsidRDefault="001E2595" w:rsidP="00B12A35">
            <w:pPr>
              <w:numPr>
                <w:ilvl w:val="0"/>
                <w:numId w:val="33"/>
              </w:numPr>
              <w:ind w:left="335" w:hanging="283"/>
              <w:contextualSpacing/>
            </w:pPr>
            <w:r w:rsidRPr="00B12A35">
              <w:t xml:space="preserve">The Glasgow &amp; Clyde Valley Strategic Development Plan does not have a strategic policy for the historic environment. </w:t>
            </w:r>
            <w:proofErr w:type="gramStart"/>
            <w:r w:rsidRPr="00B12A35">
              <w:t>Therefore</w:t>
            </w:r>
            <w:proofErr w:type="gramEnd"/>
            <w:r w:rsidRPr="00B12A35">
              <w:t xml:space="preserve"> this sentence should be simplified to refer to the policy protection in Local Development Plans only.  </w:t>
            </w:r>
          </w:p>
          <w:p w14:paraId="386606E2" w14:textId="77777777" w:rsidR="00537A01" w:rsidRPr="00B12A35" w:rsidRDefault="00537A01" w:rsidP="00537A01">
            <w:pPr>
              <w:ind w:left="335"/>
              <w:contextualSpacing/>
            </w:pPr>
          </w:p>
          <w:p w14:paraId="1BE6CB2C" w14:textId="4ECED10C" w:rsidR="001E2595" w:rsidRDefault="001E2595" w:rsidP="00B12A35">
            <w:pPr>
              <w:numPr>
                <w:ilvl w:val="0"/>
                <w:numId w:val="33"/>
              </w:numPr>
              <w:ind w:left="335" w:hanging="283"/>
              <w:contextualSpacing/>
            </w:pPr>
            <w:r w:rsidRPr="00B12A35">
              <w:t>Change agreed</w:t>
            </w:r>
          </w:p>
          <w:p w14:paraId="6F36A75A" w14:textId="77777777" w:rsidR="00537A01" w:rsidRPr="00B12A35" w:rsidRDefault="00537A01" w:rsidP="00537A01">
            <w:pPr>
              <w:ind w:left="335"/>
              <w:contextualSpacing/>
            </w:pPr>
          </w:p>
          <w:p w14:paraId="000D0C56" w14:textId="664C35A2" w:rsidR="001E2595" w:rsidRDefault="001E2595" w:rsidP="00B12A35">
            <w:pPr>
              <w:numPr>
                <w:ilvl w:val="0"/>
                <w:numId w:val="33"/>
              </w:numPr>
              <w:ind w:left="335" w:hanging="283"/>
              <w:contextualSpacing/>
            </w:pPr>
            <w:r w:rsidRPr="00B12A35">
              <w:t>Change agreed</w:t>
            </w:r>
          </w:p>
          <w:p w14:paraId="14B27BEB" w14:textId="77777777" w:rsidR="00537A01" w:rsidRPr="00B12A35" w:rsidRDefault="00537A01" w:rsidP="00537A01">
            <w:pPr>
              <w:ind w:left="335"/>
              <w:contextualSpacing/>
            </w:pPr>
          </w:p>
          <w:p w14:paraId="0F9EFF4F" w14:textId="28CDFACA" w:rsidR="001E2595" w:rsidRDefault="001E2595" w:rsidP="00B12A35">
            <w:pPr>
              <w:numPr>
                <w:ilvl w:val="0"/>
                <w:numId w:val="33"/>
              </w:numPr>
              <w:ind w:left="335" w:hanging="283"/>
              <w:contextualSpacing/>
            </w:pPr>
            <w:r w:rsidRPr="00B12A35">
              <w:t>Change agreed</w:t>
            </w:r>
          </w:p>
          <w:p w14:paraId="011AD760" w14:textId="77777777" w:rsidR="00537A01" w:rsidRPr="00B12A35" w:rsidRDefault="00537A01" w:rsidP="00537A01">
            <w:pPr>
              <w:ind w:left="335"/>
              <w:contextualSpacing/>
            </w:pPr>
          </w:p>
          <w:p w14:paraId="61B538CA" w14:textId="6DA58D01" w:rsidR="001E2595" w:rsidRDefault="001E2595" w:rsidP="00B12A35">
            <w:pPr>
              <w:numPr>
                <w:ilvl w:val="0"/>
                <w:numId w:val="33"/>
              </w:numPr>
              <w:ind w:left="335" w:hanging="283"/>
              <w:contextualSpacing/>
            </w:pPr>
            <w:r w:rsidRPr="00B12A35">
              <w:t>Change agreed</w:t>
            </w:r>
          </w:p>
          <w:p w14:paraId="031F5A1A" w14:textId="77777777" w:rsidR="00537A01" w:rsidRPr="00B12A35" w:rsidRDefault="00537A01" w:rsidP="00537A01">
            <w:pPr>
              <w:ind w:left="335"/>
              <w:contextualSpacing/>
            </w:pPr>
          </w:p>
          <w:p w14:paraId="005082A2" w14:textId="77777777" w:rsidR="001E2595" w:rsidRPr="00B12A35" w:rsidRDefault="001E2595" w:rsidP="00B12A35">
            <w:pPr>
              <w:numPr>
                <w:ilvl w:val="0"/>
                <w:numId w:val="33"/>
              </w:numPr>
              <w:ind w:left="335" w:hanging="283"/>
              <w:contextualSpacing/>
            </w:pPr>
            <w:r w:rsidRPr="00B12A35">
              <w:t>Change agreed</w:t>
            </w:r>
          </w:p>
        </w:tc>
      </w:tr>
      <w:tr w:rsidR="001E2595" w:rsidRPr="00B12A35" w14:paraId="3E4D3ADC" w14:textId="77777777" w:rsidTr="00F42294">
        <w:tc>
          <w:tcPr>
            <w:tcW w:w="2518" w:type="dxa"/>
          </w:tcPr>
          <w:p w14:paraId="22EDFF84" w14:textId="77777777" w:rsidR="001E2595" w:rsidRPr="00B12A35" w:rsidRDefault="001E2595" w:rsidP="00B12A35">
            <w:pPr>
              <w:rPr>
                <w:b/>
              </w:rPr>
            </w:pPr>
            <w:r w:rsidRPr="00B12A35">
              <w:rPr>
                <w:b/>
              </w:rPr>
              <w:t>Historic Environment Scotland</w:t>
            </w:r>
          </w:p>
        </w:tc>
        <w:tc>
          <w:tcPr>
            <w:tcW w:w="5127" w:type="dxa"/>
          </w:tcPr>
          <w:p w14:paraId="1F703E80" w14:textId="77777777" w:rsidR="001E2595" w:rsidRPr="00B12A35" w:rsidRDefault="001E2595" w:rsidP="00B12A35">
            <w:pPr>
              <w:numPr>
                <w:ilvl w:val="0"/>
                <w:numId w:val="32"/>
              </w:numPr>
              <w:ind w:left="349" w:hanging="283"/>
              <w:contextualSpacing/>
            </w:pPr>
            <w:r w:rsidRPr="00B12A35">
              <w:t xml:space="preserve">We have attached an annotated copy of the document. We have identified </w:t>
            </w:r>
            <w:proofErr w:type="gramStart"/>
            <w:r w:rsidRPr="00B12A35">
              <w:t>a number of</w:t>
            </w:r>
            <w:proofErr w:type="gramEnd"/>
            <w:r w:rsidRPr="00B12A35">
              <w:t xml:space="preserve"> places </w:t>
            </w:r>
            <w:r w:rsidRPr="00B12A35">
              <w:lastRenderedPageBreak/>
              <w:t xml:space="preserve">where the re-formatting of the document appears to have caused problems with the text – cutting off sentences etc. </w:t>
            </w:r>
          </w:p>
          <w:p w14:paraId="301A7C48" w14:textId="77777777" w:rsidR="001E2595" w:rsidRPr="00B12A35" w:rsidRDefault="001E2595" w:rsidP="00B12A35">
            <w:pPr>
              <w:ind w:left="349" w:hanging="283"/>
            </w:pPr>
          </w:p>
          <w:p w14:paraId="031EB073" w14:textId="77777777" w:rsidR="001E2595" w:rsidRPr="00B12A35" w:rsidRDefault="001E2595" w:rsidP="00B12A35">
            <w:pPr>
              <w:numPr>
                <w:ilvl w:val="0"/>
                <w:numId w:val="32"/>
              </w:numPr>
              <w:ind w:left="349" w:hanging="283"/>
              <w:contextualSpacing/>
            </w:pPr>
            <w:r w:rsidRPr="00B12A35">
              <w:t xml:space="preserve">We have also included some notes where the wording of the document should be altered to use appropriate and up to date terminology. </w:t>
            </w:r>
          </w:p>
          <w:p w14:paraId="4B63DA88" w14:textId="77777777" w:rsidR="001E2595" w:rsidRPr="00B12A35" w:rsidRDefault="001E2595" w:rsidP="00B12A35">
            <w:pPr>
              <w:ind w:left="349" w:hanging="283"/>
            </w:pPr>
          </w:p>
          <w:p w14:paraId="50C37A6F" w14:textId="093D45E0" w:rsidR="001E2595" w:rsidRDefault="001E2595" w:rsidP="00B12A35">
            <w:pPr>
              <w:numPr>
                <w:ilvl w:val="0"/>
                <w:numId w:val="32"/>
              </w:numPr>
              <w:ind w:left="349" w:hanging="283"/>
              <w:contextualSpacing/>
            </w:pPr>
            <w:r w:rsidRPr="00B12A35">
              <w:t xml:space="preserve">There are some sections of the document where the revised wording may imply a weakening of the protections for both the Buffer Zone and the World Heritage Site itself. </w:t>
            </w:r>
            <w:r w:rsidR="007D5E98">
              <w:t>These</w:t>
            </w:r>
            <w:r w:rsidRPr="00B12A35">
              <w:t xml:space="preserve"> in</w:t>
            </w:r>
            <w:r w:rsidR="007D5E98">
              <w:t>clude the paragraphs set out in the table below.</w:t>
            </w:r>
            <w:r w:rsidRPr="00B12A35">
              <w:t xml:space="preserve"> In these </w:t>
            </w:r>
            <w:proofErr w:type="gramStart"/>
            <w:r w:rsidRPr="00B12A35">
              <w:t>cases</w:t>
            </w:r>
            <w:proofErr w:type="gramEnd"/>
            <w:r w:rsidRPr="00B12A35">
              <w:t xml:space="preserve"> we recommend that alternative wording is used as suggested or that you revert back to the previous wording to ensure that protection for this internationally significant heritage asset is not weakened. </w:t>
            </w:r>
          </w:p>
          <w:p w14:paraId="763CDBCC" w14:textId="61017A48" w:rsidR="001E2595" w:rsidRPr="00B12A35" w:rsidRDefault="001E2595" w:rsidP="007D5E98">
            <w:pPr>
              <w:contextualSpacing/>
            </w:pPr>
          </w:p>
        </w:tc>
        <w:tc>
          <w:tcPr>
            <w:tcW w:w="6237" w:type="dxa"/>
          </w:tcPr>
          <w:p w14:paraId="17C91B65" w14:textId="25E0D450" w:rsidR="001E2595" w:rsidRDefault="001E2595" w:rsidP="00B12A35">
            <w:pPr>
              <w:numPr>
                <w:ilvl w:val="0"/>
                <w:numId w:val="34"/>
              </w:numPr>
              <w:ind w:left="335" w:hanging="283"/>
              <w:contextualSpacing/>
            </w:pPr>
            <w:r w:rsidRPr="00B12A35">
              <w:lastRenderedPageBreak/>
              <w:t>The formatting will be improved for the published version of the guidance.</w:t>
            </w:r>
          </w:p>
          <w:p w14:paraId="3D3DD283" w14:textId="77777777" w:rsidR="00537A01" w:rsidRPr="00B12A35" w:rsidRDefault="00537A01" w:rsidP="00537A01">
            <w:pPr>
              <w:ind w:left="335"/>
              <w:contextualSpacing/>
            </w:pPr>
          </w:p>
          <w:p w14:paraId="192CB5F4" w14:textId="3F8396B2" w:rsidR="001E2595" w:rsidRDefault="001E2595" w:rsidP="00B12A35">
            <w:pPr>
              <w:numPr>
                <w:ilvl w:val="0"/>
                <w:numId w:val="34"/>
              </w:numPr>
              <w:ind w:left="335" w:hanging="283"/>
              <w:contextualSpacing/>
            </w:pPr>
            <w:r w:rsidRPr="00B12A35">
              <w:t>Change agreed</w:t>
            </w:r>
          </w:p>
          <w:p w14:paraId="3639113E" w14:textId="77777777" w:rsidR="00537A01" w:rsidRPr="00B12A35" w:rsidRDefault="00537A01" w:rsidP="00537A01">
            <w:pPr>
              <w:ind w:left="335"/>
              <w:contextualSpacing/>
            </w:pPr>
          </w:p>
          <w:p w14:paraId="634D1752" w14:textId="77777777" w:rsidR="001E2595" w:rsidRPr="00B12A35" w:rsidRDefault="001E2595" w:rsidP="00B12A35">
            <w:pPr>
              <w:numPr>
                <w:ilvl w:val="0"/>
                <w:numId w:val="34"/>
              </w:numPr>
              <w:ind w:left="335" w:hanging="283"/>
              <w:contextualSpacing/>
            </w:pPr>
            <w:r w:rsidRPr="00B12A35">
              <w:t>Change agreed</w:t>
            </w:r>
          </w:p>
          <w:p w14:paraId="1F84A225" w14:textId="77777777" w:rsidR="001E2595" w:rsidRPr="00B12A35" w:rsidRDefault="001E2595" w:rsidP="00B12A35">
            <w:pPr>
              <w:ind w:left="720"/>
              <w:contextualSpacing/>
            </w:pPr>
          </w:p>
        </w:tc>
      </w:tr>
      <w:tr w:rsidR="001E2595" w:rsidRPr="00B12A35" w14:paraId="55AED70E" w14:textId="77777777" w:rsidTr="00F42294">
        <w:tc>
          <w:tcPr>
            <w:tcW w:w="2518" w:type="dxa"/>
          </w:tcPr>
          <w:p w14:paraId="33D7E676" w14:textId="77777777" w:rsidR="001E2595" w:rsidRPr="00B12A35" w:rsidRDefault="001E2595" w:rsidP="00B12A35">
            <w:pPr>
              <w:rPr>
                <w:b/>
              </w:rPr>
            </w:pPr>
            <w:r w:rsidRPr="00B12A35">
              <w:rPr>
                <w:b/>
              </w:rPr>
              <w:lastRenderedPageBreak/>
              <w:t>Historic Environment Scotland</w:t>
            </w:r>
          </w:p>
        </w:tc>
        <w:tc>
          <w:tcPr>
            <w:tcW w:w="5127" w:type="dxa"/>
          </w:tcPr>
          <w:p w14:paraId="7CB0FCDA" w14:textId="77777777" w:rsidR="001E2595" w:rsidRPr="00B12A35" w:rsidRDefault="001E2595" w:rsidP="00B12A35">
            <w:r w:rsidRPr="00B12A35">
              <w:t>We note that the guidance note refers to the policies within Scottish Planning Policy (SPP). Given that SPP will be replaced by the policies within the Fourth National Planning Framework (NPF4) in the relatively near future it may be worth considering how this change can be accommodated both for this note and for the others.</w:t>
            </w:r>
          </w:p>
        </w:tc>
        <w:tc>
          <w:tcPr>
            <w:tcW w:w="6237" w:type="dxa"/>
          </w:tcPr>
          <w:p w14:paraId="2CE13C0B" w14:textId="209852C4" w:rsidR="001E2595" w:rsidRPr="00B12A35" w:rsidRDefault="001E2595" w:rsidP="00B12A35">
            <w:r w:rsidRPr="00B12A35">
              <w:t xml:space="preserve">This supplementary guidance supports Local Development Plan 2, </w:t>
            </w:r>
            <w:r w:rsidR="00820451">
              <w:t xml:space="preserve">Whilst this </w:t>
            </w:r>
            <w:r w:rsidRPr="00B12A35">
              <w:t>was prepared in line with the framework of national planning policy in SPP</w:t>
            </w:r>
            <w:r w:rsidR="00820451">
              <w:t xml:space="preserve">, NPF4 is now adopted and constitutes national planning policy. </w:t>
            </w:r>
          </w:p>
          <w:p w14:paraId="57C94DC8" w14:textId="77777777" w:rsidR="001E2595" w:rsidRPr="00B12A35" w:rsidRDefault="001E2595" w:rsidP="00B12A35"/>
          <w:p w14:paraId="60B9DF0D" w14:textId="293940A1" w:rsidR="001E2595" w:rsidRPr="00B12A35" w:rsidRDefault="001E2595" w:rsidP="00B12A35"/>
        </w:tc>
      </w:tr>
      <w:tr w:rsidR="00E566D0" w:rsidRPr="00B12A35" w14:paraId="5BD34256" w14:textId="77777777" w:rsidTr="00F42294">
        <w:tc>
          <w:tcPr>
            <w:tcW w:w="2518" w:type="dxa"/>
          </w:tcPr>
          <w:p w14:paraId="79F2DD7F" w14:textId="360E64A6" w:rsidR="00E566D0" w:rsidRPr="00B12A35" w:rsidRDefault="00E566D0" w:rsidP="00E566D0">
            <w:pPr>
              <w:rPr>
                <w:b/>
              </w:rPr>
            </w:pPr>
            <w:r w:rsidRPr="00725A72">
              <w:rPr>
                <w:b/>
              </w:rPr>
              <w:t>Historic Environment Scotland</w:t>
            </w:r>
          </w:p>
        </w:tc>
        <w:tc>
          <w:tcPr>
            <w:tcW w:w="5127" w:type="dxa"/>
          </w:tcPr>
          <w:p w14:paraId="61380740" w14:textId="77777777" w:rsidR="00E566D0" w:rsidRDefault="00E566D0" w:rsidP="00E566D0">
            <w:r>
              <w:t xml:space="preserve">Para </w:t>
            </w:r>
            <w:proofErr w:type="gramStart"/>
            <w:r>
              <w:t>1.2.2  -</w:t>
            </w:r>
            <w:proofErr w:type="gramEnd"/>
            <w:r>
              <w:t xml:space="preserve"> </w:t>
            </w:r>
          </w:p>
          <w:p w14:paraId="3D7AFF03" w14:textId="77777777" w:rsidR="00E566D0" w:rsidRPr="003814A3" w:rsidRDefault="00E566D0" w:rsidP="00E566D0">
            <w:r w:rsidRPr="003814A3">
              <w:t>Not quite clear why the first paragraph of this section in the previous version has been removed as it provided valuable context here.  The title for this section also seems to have disappeared - perhaps a formatting issue?</w:t>
            </w:r>
          </w:p>
          <w:p w14:paraId="752854B5" w14:textId="77777777" w:rsidR="00E566D0" w:rsidRPr="00B12A35" w:rsidRDefault="00E566D0" w:rsidP="00E566D0"/>
        </w:tc>
        <w:tc>
          <w:tcPr>
            <w:tcW w:w="6237" w:type="dxa"/>
          </w:tcPr>
          <w:p w14:paraId="28D8827B" w14:textId="7751B601" w:rsidR="00E566D0" w:rsidRDefault="00E566D0" w:rsidP="00E566D0">
            <w:pPr>
              <w:rPr>
                <w:bCs/>
              </w:rPr>
            </w:pPr>
            <w:r w:rsidRPr="00E566D0">
              <w:rPr>
                <w:bCs/>
              </w:rPr>
              <w:lastRenderedPageBreak/>
              <w:t>Change agreed, add in sub heading and pa</w:t>
            </w:r>
            <w:r>
              <w:rPr>
                <w:bCs/>
              </w:rPr>
              <w:t xml:space="preserve">ra 1.3.1 </w:t>
            </w:r>
            <w:r w:rsidR="007D0451">
              <w:rPr>
                <w:bCs/>
              </w:rPr>
              <w:t xml:space="preserve">(now </w:t>
            </w:r>
            <w:proofErr w:type="gramStart"/>
            <w:r w:rsidR="007D0451">
              <w:rPr>
                <w:bCs/>
              </w:rPr>
              <w:t>1.4)</w:t>
            </w:r>
            <w:r>
              <w:rPr>
                <w:bCs/>
              </w:rPr>
              <w:t>from</w:t>
            </w:r>
            <w:proofErr w:type="gramEnd"/>
            <w:r>
              <w:rPr>
                <w:bCs/>
              </w:rPr>
              <w:t xml:space="preserve"> existing version .</w:t>
            </w:r>
          </w:p>
          <w:p w14:paraId="65EF2D3E" w14:textId="77777777" w:rsidR="00E566D0" w:rsidRDefault="00E566D0" w:rsidP="00E566D0">
            <w:pPr>
              <w:rPr>
                <w:bCs/>
              </w:rPr>
            </w:pPr>
          </w:p>
          <w:p w14:paraId="192A892C" w14:textId="64B4A7B7" w:rsidR="00E566D0" w:rsidRPr="00E566D0" w:rsidRDefault="00E566D0" w:rsidP="00E566D0">
            <w:pPr>
              <w:rPr>
                <w:b/>
                <w:bCs/>
              </w:rPr>
            </w:pPr>
            <w:r w:rsidRPr="00E566D0">
              <w:rPr>
                <w:b/>
                <w:bCs/>
              </w:rPr>
              <w:t xml:space="preserve">“THE ANTONINE WALL </w:t>
            </w:r>
          </w:p>
          <w:p w14:paraId="3E404FA7" w14:textId="77777777" w:rsidR="00E566D0" w:rsidRDefault="00E566D0" w:rsidP="00E566D0">
            <w:pPr>
              <w:rPr>
                <w:b/>
                <w:bCs/>
              </w:rPr>
            </w:pPr>
          </w:p>
          <w:p w14:paraId="7A1B57F4" w14:textId="1814106E" w:rsidR="00E566D0" w:rsidRPr="00E566D0" w:rsidRDefault="00E566D0" w:rsidP="00E566D0">
            <w:pPr>
              <w:rPr>
                <w:b/>
              </w:rPr>
            </w:pPr>
            <w:r w:rsidRPr="00E566D0">
              <w:rPr>
                <w:b/>
              </w:rPr>
              <w:lastRenderedPageBreak/>
              <w:t xml:space="preserve">The Antonine Wall is the most substantial and important Roman monument in Scotland. Built on the orders of the Emperor Antoninus Pius in the years following 140 </w:t>
            </w:r>
            <w:proofErr w:type="gramStart"/>
            <w:r w:rsidRPr="00E566D0">
              <w:rPr>
                <w:b/>
              </w:rPr>
              <w:t>AD</w:t>
            </w:r>
            <w:proofErr w:type="gramEnd"/>
            <w:r w:rsidRPr="00E566D0">
              <w:rPr>
                <w:b/>
              </w:rPr>
              <w:t>, it extends for some 60 kilometres across central Scotland from Bo’ness on the</w:t>
            </w:r>
          </w:p>
          <w:p w14:paraId="4F8E6BCC" w14:textId="06188510" w:rsidR="00E566D0" w:rsidRPr="00E566D0" w:rsidRDefault="00E566D0" w:rsidP="00E566D0">
            <w:pPr>
              <w:rPr>
                <w:b/>
              </w:rPr>
            </w:pPr>
            <w:r w:rsidRPr="00E566D0">
              <w:rPr>
                <w:b/>
              </w:rPr>
              <w:t xml:space="preserve">River Forth to Old Kilpatrick on the River Clyde and marked the </w:t>
            </w:r>
            <w:proofErr w:type="gramStart"/>
            <w:r w:rsidRPr="00E566D0">
              <w:rPr>
                <w:b/>
              </w:rPr>
              <w:t>north western</w:t>
            </w:r>
            <w:proofErr w:type="gramEnd"/>
            <w:r w:rsidRPr="00E566D0">
              <w:rPr>
                <w:b/>
              </w:rPr>
              <w:t xml:space="preserve"> frontier of the Roman Empire."</w:t>
            </w:r>
          </w:p>
          <w:p w14:paraId="2746A276" w14:textId="77777777" w:rsidR="00E566D0" w:rsidRPr="00B12A35" w:rsidRDefault="00E566D0" w:rsidP="00E566D0"/>
        </w:tc>
      </w:tr>
      <w:tr w:rsidR="00E566D0" w:rsidRPr="00B12A35" w14:paraId="145629A8" w14:textId="77777777" w:rsidTr="00F42294">
        <w:tc>
          <w:tcPr>
            <w:tcW w:w="2518" w:type="dxa"/>
          </w:tcPr>
          <w:p w14:paraId="4CBC0B62" w14:textId="25CA5C42" w:rsidR="00E566D0" w:rsidRPr="00B12A35" w:rsidRDefault="00E566D0" w:rsidP="00E566D0">
            <w:pPr>
              <w:rPr>
                <w:b/>
              </w:rPr>
            </w:pPr>
            <w:r w:rsidRPr="00725A72">
              <w:rPr>
                <w:b/>
              </w:rPr>
              <w:lastRenderedPageBreak/>
              <w:t>Historic Environment Scotland</w:t>
            </w:r>
          </w:p>
        </w:tc>
        <w:tc>
          <w:tcPr>
            <w:tcW w:w="5127" w:type="dxa"/>
          </w:tcPr>
          <w:p w14:paraId="5F422013" w14:textId="14B70F72" w:rsidR="00E566D0" w:rsidRPr="00AF0C73" w:rsidRDefault="00E566D0" w:rsidP="00E566D0">
            <w:r w:rsidRPr="00AF0C73">
              <w:t xml:space="preserve">Paragraph 1.5.1 </w:t>
            </w:r>
            <w:r w:rsidR="007D0451">
              <w:t>(now 1.11)</w:t>
            </w:r>
            <w:r w:rsidRPr="00AF0C73">
              <w:t xml:space="preserve">- the revised wording no longer specifically refers to the protection of the World Heritage Site.  The revised wording may imply a weakening of the protections for the WHS.  Has the original wording caused problems?  If </w:t>
            </w:r>
            <w:proofErr w:type="gramStart"/>
            <w:r w:rsidRPr="00AF0C73">
              <w:t>not</w:t>
            </w:r>
            <w:proofErr w:type="gramEnd"/>
            <w:r w:rsidRPr="00AF0C73">
              <w:t xml:space="preserve"> it may be better to revert to the original wording here.</w:t>
            </w:r>
          </w:p>
          <w:p w14:paraId="650D9DA5" w14:textId="77777777" w:rsidR="00E566D0" w:rsidRPr="00B12A35" w:rsidRDefault="00E566D0" w:rsidP="00E566D0"/>
        </w:tc>
        <w:tc>
          <w:tcPr>
            <w:tcW w:w="6237" w:type="dxa"/>
          </w:tcPr>
          <w:p w14:paraId="5D722DBB" w14:textId="6422247E" w:rsidR="00E566D0" w:rsidRPr="00AF0C73" w:rsidRDefault="00E566D0" w:rsidP="00E566D0">
            <w:pPr>
              <w:rPr>
                <w:b/>
                <w:bCs/>
              </w:rPr>
            </w:pPr>
            <w:r w:rsidRPr="00E566D0">
              <w:rPr>
                <w:bCs/>
              </w:rPr>
              <w:t xml:space="preserve">Agree change, revert to former wording which is </w:t>
            </w:r>
            <w:r w:rsidR="00C15AAE">
              <w:rPr>
                <w:bCs/>
              </w:rPr>
              <w:t>clearer</w:t>
            </w:r>
            <w:r w:rsidRPr="00E566D0">
              <w:rPr>
                <w:bCs/>
              </w:rPr>
              <w:t>.</w:t>
            </w:r>
            <w:r w:rsidRPr="00AF0C73">
              <w:rPr>
                <w:b/>
                <w:bCs/>
              </w:rPr>
              <w:t xml:space="preserve"> "To protect the important landscape setting of the Antonine Wall a Buffer Zone has</w:t>
            </w:r>
            <w:r>
              <w:rPr>
                <w:b/>
                <w:bCs/>
              </w:rPr>
              <w:t xml:space="preserve"> </w:t>
            </w:r>
            <w:r w:rsidRPr="00AF0C73">
              <w:rPr>
                <w:b/>
                <w:bCs/>
              </w:rPr>
              <w:t>been designated to the north and south of the monument. The Buffer Zone does not</w:t>
            </w:r>
            <w:r>
              <w:rPr>
                <w:b/>
                <w:bCs/>
              </w:rPr>
              <w:t xml:space="preserve"> </w:t>
            </w:r>
            <w:r w:rsidRPr="00AF0C73">
              <w:rPr>
                <w:b/>
                <w:bCs/>
              </w:rPr>
              <w:t>act as an absolute barrier to development but defines a zone where added protection</w:t>
            </w:r>
            <w:r>
              <w:rPr>
                <w:b/>
                <w:bCs/>
              </w:rPr>
              <w:t xml:space="preserve"> </w:t>
            </w:r>
            <w:r w:rsidRPr="00AF0C73">
              <w:rPr>
                <w:b/>
                <w:bCs/>
              </w:rPr>
              <w:t>to the immediate setting of the</w:t>
            </w:r>
            <w:r>
              <w:rPr>
                <w:b/>
                <w:bCs/>
              </w:rPr>
              <w:t xml:space="preserve"> World Heritage Site is given. D</w:t>
            </w:r>
            <w:r w:rsidRPr="00AF0C73">
              <w:rPr>
                <w:b/>
                <w:bCs/>
              </w:rPr>
              <w:t>evelopment proposals</w:t>
            </w:r>
            <w:r>
              <w:rPr>
                <w:b/>
                <w:bCs/>
              </w:rPr>
              <w:t xml:space="preserve"> </w:t>
            </w:r>
            <w:r w:rsidRPr="00AF0C73">
              <w:rPr>
                <w:b/>
                <w:bCs/>
              </w:rPr>
              <w:t>within the Buffer Zone will be given careful consideration to determine whether it is likely</w:t>
            </w:r>
          </w:p>
          <w:p w14:paraId="4715B470" w14:textId="79443600" w:rsidR="00E566D0" w:rsidRPr="00AF0C73" w:rsidRDefault="00E566D0" w:rsidP="00E566D0">
            <w:pPr>
              <w:rPr>
                <w:b/>
                <w:bCs/>
              </w:rPr>
            </w:pPr>
            <w:r w:rsidRPr="00AF0C73">
              <w:rPr>
                <w:b/>
                <w:bCs/>
              </w:rPr>
              <w:t>to significantly detract from the Outstanding Universal Value, authenticity or integrity of</w:t>
            </w:r>
            <w:r>
              <w:rPr>
                <w:b/>
                <w:bCs/>
              </w:rPr>
              <w:t xml:space="preserve"> </w:t>
            </w:r>
            <w:r w:rsidRPr="00AF0C73">
              <w:rPr>
                <w:b/>
                <w:bCs/>
              </w:rPr>
              <w:t>the Antonine Wall."</w:t>
            </w:r>
          </w:p>
          <w:p w14:paraId="5665A41F" w14:textId="77777777" w:rsidR="00E566D0" w:rsidRPr="00B12A35" w:rsidRDefault="00E566D0" w:rsidP="00E566D0"/>
        </w:tc>
      </w:tr>
      <w:tr w:rsidR="00E566D0" w:rsidRPr="00B12A35" w14:paraId="041DCCC5" w14:textId="77777777" w:rsidTr="00F42294">
        <w:tc>
          <w:tcPr>
            <w:tcW w:w="2518" w:type="dxa"/>
          </w:tcPr>
          <w:p w14:paraId="5EB70743" w14:textId="26B8075B" w:rsidR="00E566D0" w:rsidRPr="00B12A35" w:rsidRDefault="00E566D0" w:rsidP="00E566D0">
            <w:pPr>
              <w:rPr>
                <w:b/>
              </w:rPr>
            </w:pPr>
            <w:r w:rsidRPr="00725A72">
              <w:rPr>
                <w:b/>
              </w:rPr>
              <w:t>Historic Environment Scotland</w:t>
            </w:r>
          </w:p>
        </w:tc>
        <w:tc>
          <w:tcPr>
            <w:tcW w:w="5127" w:type="dxa"/>
          </w:tcPr>
          <w:p w14:paraId="7CFEE7AD" w14:textId="5CB82976" w:rsidR="00E566D0" w:rsidRPr="00AF0C73" w:rsidRDefault="00E566D0" w:rsidP="00E566D0">
            <w:r>
              <w:t xml:space="preserve">Para 1.2.4 </w:t>
            </w:r>
            <w:r w:rsidR="007D0451">
              <w:t xml:space="preserve">(now 1.7) </w:t>
            </w:r>
            <w:r w:rsidRPr="00AF0C73">
              <w:t xml:space="preserve">Wording could be improved in this paragraph.  It suggests initially that the Wall only survives where it is visible above ground.  Suggest instead: "Today, around one third of the Antonine Wall is visible above ground, at places such as... open spaces within urban areas and, though not visible above ground, survives below ground". </w:t>
            </w:r>
          </w:p>
          <w:p w14:paraId="2E9E81D6" w14:textId="77777777" w:rsidR="00E566D0" w:rsidRPr="00B12A35" w:rsidRDefault="00E566D0" w:rsidP="00E566D0"/>
        </w:tc>
        <w:tc>
          <w:tcPr>
            <w:tcW w:w="6237" w:type="dxa"/>
          </w:tcPr>
          <w:p w14:paraId="11E7C92F" w14:textId="21396B94" w:rsidR="00E566D0" w:rsidRPr="00B12A35" w:rsidRDefault="00E566D0" w:rsidP="00E566D0">
            <w:r w:rsidRPr="00E566D0">
              <w:rPr>
                <w:bCs/>
              </w:rPr>
              <w:t>Agree change. Replace first two sentences with</w:t>
            </w:r>
            <w:r w:rsidRPr="00AF0C73">
              <w:rPr>
                <w:b/>
                <w:bCs/>
              </w:rPr>
              <w:t xml:space="preserve"> "Today, around one third of the Antonine Wall is visible above ground, at places such as Bearsden, Bar Hill and Rough Castle. Around one third lies in urban areas while the remainder lies in open countryside or open spaces within urban areas and, though not visible above ground, survives below ground".</w:t>
            </w:r>
          </w:p>
        </w:tc>
      </w:tr>
      <w:tr w:rsidR="00E566D0" w:rsidRPr="00B12A35" w14:paraId="3C7043C7" w14:textId="77777777" w:rsidTr="00F42294">
        <w:tc>
          <w:tcPr>
            <w:tcW w:w="2518" w:type="dxa"/>
          </w:tcPr>
          <w:p w14:paraId="5396FBD9" w14:textId="6B3AB179" w:rsidR="00E566D0" w:rsidRPr="00B12A35" w:rsidRDefault="00E566D0" w:rsidP="00E566D0">
            <w:pPr>
              <w:rPr>
                <w:b/>
              </w:rPr>
            </w:pPr>
            <w:r w:rsidRPr="00725A72">
              <w:rPr>
                <w:b/>
              </w:rPr>
              <w:t>Historic Environment Scotland</w:t>
            </w:r>
          </w:p>
        </w:tc>
        <w:tc>
          <w:tcPr>
            <w:tcW w:w="5127" w:type="dxa"/>
          </w:tcPr>
          <w:p w14:paraId="45B75BE7" w14:textId="77777777" w:rsidR="00E566D0" w:rsidRPr="00D126BD" w:rsidRDefault="00E566D0" w:rsidP="00E566D0">
            <w:r>
              <w:t xml:space="preserve">Section 2.2 Site Audit table – Site characteristics and setting row, </w:t>
            </w:r>
            <w:r w:rsidRPr="00D126BD">
              <w:t>this list should include 'will the proposal have a direct impact on the remains of the Antonine Wall and associated archaeological features?'</w:t>
            </w:r>
          </w:p>
          <w:p w14:paraId="6248879A" w14:textId="77777777" w:rsidR="00E566D0" w:rsidRPr="00B12A35" w:rsidRDefault="00E566D0" w:rsidP="00E566D0"/>
        </w:tc>
        <w:tc>
          <w:tcPr>
            <w:tcW w:w="6237" w:type="dxa"/>
          </w:tcPr>
          <w:p w14:paraId="264D8AF4" w14:textId="77777777" w:rsidR="00E566D0" w:rsidRPr="00D126BD" w:rsidRDefault="00E566D0" w:rsidP="00E566D0">
            <w:pPr>
              <w:rPr>
                <w:b/>
                <w:bCs/>
              </w:rPr>
            </w:pPr>
            <w:r w:rsidRPr="00E566D0">
              <w:rPr>
                <w:bCs/>
              </w:rPr>
              <w:t>Agree add a new question to the end of the list after "-- public access to the WHS"</w:t>
            </w:r>
            <w:r w:rsidRPr="00D126BD">
              <w:rPr>
                <w:b/>
                <w:bCs/>
              </w:rPr>
              <w:t xml:space="preserve"> - "Will the proposal have a direct impact on the remains of the Antonine Wall and associated archaeological features?"</w:t>
            </w:r>
          </w:p>
          <w:p w14:paraId="1386FBA2" w14:textId="77777777" w:rsidR="00E566D0" w:rsidRPr="00B12A35" w:rsidRDefault="00E566D0" w:rsidP="00E566D0"/>
        </w:tc>
      </w:tr>
      <w:tr w:rsidR="00E566D0" w:rsidRPr="00B12A35" w14:paraId="7CF6BA57" w14:textId="77777777" w:rsidTr="00F42294">
        <w:tc>
          <w:tcPr>
            <w:tcW w:w="2518" w:type="dxa"/>
          </w:tcPr>
          <w:p w14:paraId="3723E15C" w14:textId="07D88AE9" w:rsidR="00E566D0" w:rsidRPr="00B12A35" w:rsidRDefault="00E566D0" w:rsidP="00E566D0">
            <w:pPr>
              <w:rPr>
                <w:b/>
              </w:rPr>
            </w:pPr>
            <w:r w:rsidRPr="00725A72">
              <w:rPr>
                <w:b/>
              </w:rPr>
              <w:lastRenderedPageBreak/>
              <w:t>Historic Environment Scotland</w:t>
            </w:r>
          </w:p>
        </w:tc>
        <w:tc>
          <w:tcPr>
            <w:tcW w:w="5127" w:type="dxa"/>
          </w:tcPr>
          <w:p w14:paraId="1955BF13" w14:textId="66F74A26" w:rsidR="00E566D0" w:rsidRPr="00D126BD" w:rsidRDefault="00E566D0" w:rsidP="00E566D0">
            <w:r>
              <w:t xml:space="preserve">Para 3.4.3 </w:t>
            </w:r>
            <w:r w:rsidR="007D0451">
              <w:t xml:space="preserve">(now 3.6) </w:t>
            </w:r>
            <w:r w:rsidRPr="00D126BD">
              <w:t>The below text would be more appropriate terminology to use in this section.</w:t>
            </w:r>
          </w:p>
          <w:p w14:paraId="098FF8BF" w14:textId="77777777" w:rsidR="00E566D0" w:rsidRPr="00D126BD" w:rsidRDefault="00E566D0" w:rsidP="00E566D0"/>
          <w:p w14:paraId="73467DBE" w14:textId="77777777" w:rsidR="00E566D0" w:rsidRPr="00D126BD" w:rsidRDefault="00E566D0" w:rsidP="00E566D0">
            <w:r w:rsidRPr="00D126BD">
              <w:t>'</w:t>
            </w:r>
            <w:proofErr w:type="gramStart"/>
            <w:r w:rsidRPr="00D126BD">
              <w:t>should</w:t>
            </w:r>
            <w:proofErr w:type="gramEnd"/>
            <w:r w:rsidRPr="00D126BD">
              <w:t xml:space="preserve"> avoid areas of surviving archaeological remains.'</w:t>
            </w:r>
          </w:p>
          <w:p w14:paraId="7252D15D" w14:textId="77777777" w:rsidR="00E566D0" w:rsidRPr="00D126BD" w:rsidRDefault="00E566D0" w:rsidP="00E566D0">
            <w:r w:rsidRPr="00D126BD">
              <w:t>'Avoiding the World Heritage Site and, in particular areas which are scheduled will be the best approach'</w:t>
            </w:r>
          </w:p>
          <w:p w14:paraId="6E36D9FD" w14:textId="77777777" w:rsidR="00E566D0" w:rsidRPr="00D126BD" w:rsidRDefault="00E566D0" w:rsidP="00E566D0">
            <w:r w:rsidRPr="00D126BD">
              <w:t>'... the presence, location, depth and sensitivity of deposits cannot...'</w:t>
            </w:r>
          </w:p>
          <w:p w14:paraId="4955ACD4" w14:textId="77777777" w:rsidR="00E566D0" w:rsidRPr="00D126BD" w:rsidRDefault="00E566D0" w:rsidP="00E566D0">
            <w:r w:rsidRPr="00D126BD">
              <w:t>'This may help to design proposals that avoid...'</w:t>
            </w:r>
          </w:p>
          <w:p w14:paraId="76D42CD6" w14:textId="77777777" w:rsidR="00E566D0" w:rsidRPr="00D126BD" w:rsidRDefault="00E566D0" w:rsidP="00E566D0">
            <w:r w:rsidRPr="00D126BD">
              <w:t>'...impacts upon archaeological deposits from other periods...'</w:t>
            </w:r>
          </w:p>
          <w:p w14:paraId="768952B2" w14:textId="77777777" w:rsidR="00E566D0" w:rsidRPr="00B12A35" w:rsidRDefault="00E566D0" w:rsidP="00E566D0"/>
        </w:tc>
        <w:tc>
          <w:tcPr>
            <w:tcW w:w="6237" w:type="dxa"/>
          </w:tcPr>
          <w:p w14:paraId="79EF1F22" w14:textId="534BEDB9" w:rsidR="00E566D0" w:rsidRDefault="00E566D0" w:rsidP="00E566D0">
            <w:pPr>
              <w:rPr>
                <w:b/>
                <w:bCs/>
              </w:rPr>
            </w:pPr>
            <w:r w:rsidRPr="00E566D0">
              <w:rPr>
                <w:bCs/>
              </w:rPr>
              <w:t>Agree change 3.</w:t>
            </w:r>
            <w:r w:rsidR="007D0451">
              <w:rPr>
                <w:bCs/>
              </w:rPr>
              <w:t>6</w:t>
            </w:r>
            <w:r w:rsidRPr="00E566D0">
              <w:rPr>
                <w:bCs/>
              </w:rPr>
              <w:t xml:space="preserve"> to </w:t>
            </w:r>
            <w:r w:rsidRPr="001C2E48">
              <w:rPr>
                <w:b/>
                <w:bCs/>
              </w:rPr>
              <w:t xml:space="preserve">"Development should avoid areas of surviving archaeological remains. Avoiding the World Heritage Site and, </w:t>
            </w:r>
            <w:proofErr w:type="gramStart"/>
            <w:r w:rsidRPr="001C2E48">
              <w:rPr>
                <w:b/>
                <w:bCs/>
              </w:rPr>
              <w:t>in particular areas</w:t>
            </w:r>
            <w:proofErr w:type="gramEnd"/>
            <w:r w:rsidRPr="001C2E48">
              <w:rPr>
                <w:b/>
                <w:bCs/>
              </w:rPr>
              <w:t xml:space="preserve"> which are scheduled will be the best approach.</w:t>
            </w:r>
          </w:p>
          <w:p w14:paraId="44C8F631" w14:textId="736B642E" w:rsidR="00E566D0" w:rsidRPr="001C2E48" w:rsidRDefault="00E566D0" w:rsidP="00E566D0">
            <w:pPr>
              <w:rPr>
                <w:b/>
                <w:bCs/>
              </w:rPr>
            </w:pPr>
            <w:r w:rsidRPr="001C2E48">
              <w:rPr>
                <w:b/>
                <w:bCs/>
              </w:rPr>
              <w:t xml:space="preserve"> </w:t>
            </w:r>
          </w:p>
          <w:p w14:paraId="6C9997BB" w14:textId="0A594885" w:rsidR="00E566D0" w:rsidRDefault="00E566D0" w:rsidP="00E566D0">
            <w:pPr>
              <w:rPr>
                <w:b/>
                <w:bCs/>
              </w:rPr>
            </w:pPr>
            <w:r w:rsidRPr="001C2E48">
              <w:rPr>
                <w:b/>
                <w:bCs/>
              </w:rPr>
              <w:t xml:space="preserve">Even in areas which have already been developed, the presence, location, depth and sensitivity of deposits cannot always be predicted. </w:t>
            </w:r>
          </w:p>
          <w:p w14:paraId="1E3FCF7D" w14:textId="77777777" w:rsidR="00E566D0" w:rsidRPr="001C2E48" w:rsidRDefault="00E566D0" w:rsidP="00E566D0">
            <w:pPr>
              <w:rPr>
                <w:b/>
                <w:bCs/>
              </w:rPr>
            </w:pPr>
          </w:p>
          <w:p w14:paraId="5B5ECA48" w14:textId="6F61990C" w:rsidR="00E566D0" w:rsidRPr="001C2E48" w:rsidRDefault="00E566D0" w:rsidP="00E566D0">
            <w:pPr>
              <w:rPr>
                <w:b/>
                <w:bCs/>
              </w:rPr>
            </w:pPr>
            <w:r w:rsidRPr="001C2E48">
              <w:rPr>
                <w:b/>
                <w:bCs/>
              </w:rPr>
              <w:t xml:space="preserve">In many instances it may be appropriate to carry out an archaeological evaluation to help determine where Roman deposits lie ahead of making a planning application. This may help to design proposals that avoid areas of archaeological deposits. For smaller developments where surviving Roman deposits are assessed as being improbable, an archaeological watching brief and mitigation strategy may be more appropriate – this should be discussed with the local authority and Historic Environment Scotland at an early stage. Moving development </w:t>
            </w:r>
            <w:proofErr w:type="spellStart"/>
            <w:r w:rsidRPr="001C2E48">
              <w:rPr>
                <w:b/>
                <w:bCs/>
              </w:rPr>
              <w:t>outwith</w:t>
            </w:r>
            <w:proofErr w:type="spellEnd"/>
            <w:r w:rsidRPr="001C2E48">
              <w:rPr>
                <w:b/>
                <w:bCs/>
              </w:rPr>
              <w:t xml:space="preserve"> the WHS will not automatically avoid physical impact. Although not covered by the WHS, impacts upon archaeological deposits from other periods will not always be acceptable and should also be considered as part of the development planning process</w:t>
            </w:r>
            <w:r>
              <w:rPr>
                <w:b/>
                <w:bCs/>
              </w:rPr>
              <w:t>”</w:t>
            </w:r>
            <w:r w:rsidRPr="001C2E48">
              <w:rPr>
                <w:b/>
                <w:bCs/>
              </w:rPr>
              <w:t xml:space="preserve">. </w:t>
            </w:r>
          </w:p>
          <w:p w14:paraId="0D36736C" w14:textId="77777777" w:rsidR="00E566D0" w:rsidRPr="00B12A35" w:rsidRDefault="00E566D0" w:rsidP="00E566D0"/>
        </w:tc>
      </w:tr>
      <w:tr w:rsidR="00E566D0" w:rsidRPr="00B12A35" w14:paraId="0D5C07BD" w14:textId="77777777" w:rsidTr="00F42294">
        <w:tc>
          <w:tcPr>
            <w:tcW w:w="2518" w:type="dxa"/>
          </w:tcPr>
          <w:p w14:paraId="329D192E" w14:textId="5E8314FB" w:rsidR="00E566D0" w:rsidRPr="00B12A35" w:rsidRDefault="00E566D0" w:rsidP="00E566D0">
            <w:pPr>
              <w:rPr>
                <w:b/>
              </w:rPr>
            </w:pPr>
            <w:r w:rsidRPr="00725A72">
              <w:rPr>
                <w:b/>
              </w:rPr>
              <w:t>Historic Environment Scotland</w:t>
            </w:r>
          </w:p>
        </w:tc>
        <w:tc>
          <w:tcPr>
            <w:tcW w:w="5127" w:type="dxa"/>
          </w:tcPr>
          <w:p w14:paraId="65C8BF71" w14:textId="679B7F2F" w:rsidR="00E566D0" w:rsidRPr="001C2E48" w:rsidRDefault="00E566D0" w:rsidP="00E566D0">
            <w:r>
              <w:t xml:space="preserve">Para 3.4.6 </w:t>
            </w:r>
            <w:r w:rsidR="00123935">
              <w:t>(now 3.9)</w:t>
            </w:r>
            <w:r>
              <w:t xml:space="preserve">- </w:t>
            </w:r>
            <w:r w:rsidRPr="001C2E48">
              <w:t>This section isn't clear on what happens if new/unknown elements are discovered during site works.</w:t>
            </w:r>
          </w:p>
          <w:p w14:paraId="61653F38" w14:textId="77777777" w:rsidR="00E566D0" w:rsidRPr="001C2E48" w:rsidRDefault="00E566D0" w:rsidP="00E566D0"/>
          <w:p w14:paraId="04373A23" w14:textId="77777777" w:rsidR="00E566D0" w:rsidRPr="001C2E48" w:rsidRDefault="00E566D0" w:rsidP="00E566D0">
            <w:r w:rsidRPr="001C2E48">
              <w:t>Revise first sentence to read: 'There may be sub-surface archaeological deposits...'</w:t>
            </w:r>
          </w:p>
          <w:p w14:paraId="55BE0EAE" w14:textId="77777777" w:rsidR="00E566D0" w:rsidRPr="001C2E48" w:rsidRDefault="00E566D0" w:rsidP="00E566D0"/>
          <w:p w14:paraId="77460B5D" w14:textId="77777777" w:rsidR="00E566D0" w:rsidRPr="001C2E48" w:rsidRDefault="00E566D0" w:rsidP="00E566D0">
            <w:r w:rsidRPr="001C2E48">
              <w:lastRenderedPageBreak/>
              <w:t>This paragraph is currently ambiguous.  It would be helpful if this section read something like:</w:t>
            </w:r>
          </w:p>
          <w:p w14:paraId="552EED0A" w14:textId="77777777" w:rsidR="00E566D0" w:rsidRPr="001C2E48" w:rsidRDefault="00E566D0" w:rsidP="00E566D0">
            <w:r w:rsidRPr="001C2E48">
              <w:t>'...Where known archaeological remains are present, investigation will be required in conjunction with new development.  Where previously unknown archaeological deposits are identified during site works the Council should be informed immediately and further archaeological investigations may be required'</w:t>
            </w:r>
          </w:p>
          <w:p w14:paraId="4FDBD0B4" w14:textId="77777777" w:rsidR="00E566D0" w:rsidRPr="00B12A35" w:rsidRDefault="00E566D0" w:rsidP="00E566D0"/>
        </w:tc>
        <w:tc>
          <w:tcPr>
            <w:tcW w:w="6237" w:type="dxa"/>
          </w:tcPr>
          <w:p w14:paraId="04487506" w14:textId="5031BE9B" w:rsidR="00E566D0" w:rsidRPr="001C2E48" w:rsidRDefault="00E566D0" w:rsidP="00E566D0">
            <w:pPr>
              <w:rPr>
                <w:b/>
                <w:bCs/>
              </w:rPr>
            </w:pPr>
            <w:r w:rsidRPr="00E566D0">
              <w:rPr>
                <w:bCs/>
              </w:rPr>
              <w:lastRenderedPageBreak/>
              <w:t>Agree change. Replace 3.</w:t>
            </w:r>
            <w:r w:rsidR="00123935">
              <w:rPr>
                <w:bCs/>
              </w:rPr>
              <w:t>9</w:t>
            </w:r>
            <w:r w:rsidRPr="00E566D0">
              <w:rPr>
                <w:bCs/>
              </w:rPr>
              <w:t xml:space="preserve"> with</w:t>
            </w:r>
            <w:r w:rsidRPr="001C2E48">
              <w:rPr>
                <w:b/>
                <w:bCs/>
              </w:rPr>
              <w:t xml:space="preserve"> "There may be sub-surface archaeological deposits within or </w:t>
            </w:r>
            <w:proofErr w:type="spellStart"/>
            <w:r w:rsidRPr="001C2E48">
              <w:rPr>
                <w:b/>
                <w:bCs/>
              </w:rPr>
              <w:t>outwith</w:t>
            </w:r>
            <w:proofErr w:type="spellEnd"/>
            <w:r w:rsidRPr="001C2E48">
              <w:rPr>
                <w:b/>
                <w:bCs/>
              </w:rPr>
              <w:t xml:space="preserve"> the defined buffer zone, </w:t>
            </w:r>
            <w:proofErr w:type="spellStart"/>
            <w:r w:rsidRPr="001C2E48">
              <w:rPr>
                <w:b/>
                <w:bCs/>
              </w:rPr>
              <w:t>outwith</w:t>
            </w:r>
            <w:proofErr w:type="spellEnd"/>
            <w:r w:rsidRPr="001C2E48">
              <w:rPr>
                <w:b/>
                <w:bCs/>
              </w:rPr>
              <w:t xml:space="preserve"> the line of the World Heritage Site, or Scheduled areas. This is because the exact line of the Wall is not clear, and new elements may be discovered during site works. Where known archaeological remains are present, investigation will be required in conjunction with new development.  Where previously unknown archaeological deposits are identified during </w:t>
            </w:r>
            <w:r w:rsidRPr="001C2E48">
              <w:rPr>
                <w:b/>
                <w:bCs/>
              </w:rPr>
              <w:lastRenderedPageBreak/>
              <w:t>site works the Council should be informed immediately and further archaeological investigations may be required."</w:t>
            </w:r>
          </w:p>
          <w:p w14:paraId="3EE25ECF" w14:textId="77777777" w:rsidR="00E566D0" w:rsidRPr="00B12A35" w:rsidRDefault="00E566D0" w:rsidP="00E566D0"/>
        </w:tc>
      </w:tr>
      <w:tr w:rsidR="00E566D0" w:rsidRPr="00B12A35" w14:paraId="6E495739" w14:textId="77777777" w:rsidTr="00F42294">
        <w:tc>
          <w:tcPr>
            <w:tcW w:w="2518" w:type="dxa"/>
          </w:tcPr>
          <w:p w14:paraId="4357A269" w14:textId="6ABE193B" w:rsidR="00E566D0" w:rsidRPr="00B12A35" w:rsidRDefault="00E566D0" w:rsidP="00E566D0">
            <w:pPr>
              <w:rPr>
                <w:b/>
              </w:rPr>
            </w:pPr>
            <w:r w:rsidRPr="00725A72">
              <w:rPr>
                <w:b/>
              </w:rPr>
              <w:lastRenderedPageBreak/>
              <w:t>Historic Environment Scotland</w:t>
            </w:r>
          </w:p>
        </w:tc>
        <w:tc>
          <w:tcPr>
            <w:tcW w:w="5127" w:type="dxa"/>
          </w:tcPr>
          <w:p w14:paraId="13FE63FF" w14:textId="1D6D0CE6" w:rsidR="00E566D0" w:rsidRPr="00B12A35" w:rsidRDefault="00E566D0" w:rsidP="00E566D0">
            <w:r>
              <w:t xml:space="preserve">Para 3.5.2 </w:t>
            </w:r>
            <w:r w:rsidR="00123935">
              <w:t>(now 3.12)</w:t>
            </w:r>
            <w:r>
              <w:t xml:space="preserve">– change </w:t>
            </w:r>
            <w:r w:rsidRPr="001C2E48">
              <w:rPr>
                <w:b/>
              </w:rPr>
              <w:t>“any</w:t>
            </w:r>
            <w:r>
              <w:t xml:space="preserve"> change to “</w:t>
            </w:r>
            <w:r w:rsidRPr="001C2E48">
              <w:rPr>
                <w:b/>
              </w:rPr>
              <w:t xml:space="preserve">all </w:t>
            </w:r>
            <w:r>
              <w:t xml:space="preserve">change” in the paragraph below - </w:t>
            </w:r>
            <w:r w:rsidRPr="001C2E48">
              <w:t xml:space="preserve">The capacity for new development in the Buffer Zone varies significantly along the length of the WHS and while the Council does not seek to prevent </w:t>
            </w:r>
            <w:r>
              <w:t>“</w:t>
            </w:r>
            <w:r w:rsidRPr="001C2E48">
              <w:rPr>
                <w:b/>
              </w:rPr>
              <w:t>any</w:t>
            </w:r>
            <w:r w:rsidRPr="001C2E48">
              <w:t xml:space="preserve"> change</w:t>
            </w:r>
            <w:r>
              <w:t>”</w:t>
            </w:r>
            <w:r w:rsidRPr="001C2E48">
              <w:t xml:space="preserve"> to the landscape within the Buffer Zone, it is considered essential that new development is effectively accommodated within the landscape and is designed and located to conserve and enhance the setting of the WHS.</w:t>
            </w:r>
          </w:p>
        </w:tc>
        <w:tc>
          <w:tcPr>
            <w:tcW w:w="6237" w:type="dxa"/>
          </w:tcPr>
          <w:p w14:paraId="214EFCEA" w14:textId="7AE3A6DB" w:rsidR="00E566D0" w:rsidRPr="00B12A35" w:rsidRDefault="00E566D0" w:rsidP="00E566D0">
            <w:r w:rsidRPr="00E566D0">
              <w:rPr>
                <w:bCs/>
              </w:rPr>
              <w:t>The guidance here relates to change in the landscape, there is no added benefit or need to refer to "all change" here.</w:t>
            </w:r>
            <w:r w:rsidRPr="001C2E48">
              <w:rPr>
                <w:b/>
                <w:bCs/>
              </w:rPr>
              <w:t xml:space="preserve"> Instead </w:t>
            </w:r>
            <w:r>
              <w:rPr>
                <w:b/>
                <w:bCs/>
              </w:rPr>
              <w:t>simplify the sentence by removing</w:t>
            </w:r>
            <w:r w:rsidRPr="001C2E48">
              <w:rPr>
                <w:b/>
                <w:bCs/>
              </w:rPr>
              <w:t xml:space="preserve"> the word "any".</w:t>
            </w:r>
          </w:p>
        </w:tc>
      </w:tr>
      <w:tr w:rsidR="00E566D0" w:rsidRPr="00B12A35" w14:paraId="1B33DE48" w14:textId="77777777" w:rsidTr="00F42294">
        <w:tc>
          <w:tcPr>
            <w:tcW w:w="2518" w:type="dxa"/>
          </w:tcPr>
          <w:p w14:paraId="7A2AF0C0" w14:textId="0A850D08" w:rsidR="00E566D0" w:rsidRPr="00B12A35" w:rsidRDefault="00E566D0" w:rsidP="00E566D0">
            <w:pPr>
              <w:rPr>
                <w:b/>
              </w:rPr>
            </w:pPr>
            <w:r w:rsidRPr="00725A72">
              <w:rPr>
                <w:b/>
              </w:rPr>
              <w:t>Historic Environment Scotland</w:t>
            </w:r>
          </w:p>
        </w:tc>
        <w:tc>
          <w:tcPr>
            <w:tcW w:w="5127" w:type="dxa"/>
          </w:tcPr>
          <w:p w14:paraId="5C62DCA0" w14:textId="2D51ADEB" w:rsidR="00E566D0" w:rsidRPr="00B12A35" w:rsidRDefault="00E566D0" w:rsidP="00E566D0">
            <w:r>
              <w:t xml:space="preserve">Section 3.4 Physical Impacts, box of key points, </w:t>
            </w:r>
            <w:proofErr w:type="gramStart"/>
            <w:r w:rsidRPr="004555B7">
              <w:t>Th</w:t>
            </w:r>
            <w:r>
              <w:t>e</w:t>
            </w:r>
            <w:proofErr w:type="gramEnd"/>
            <w:r>
              <w:t xml:space="preserve"> first </w:t>
            </w:r>
            <w:r w:rsidRPr="004555B7">
              <w:t xml:space="preserve">key point doesn't make it clear whether this is referring to scheduled sections of the WHS or unscheduled ones although the text is similar to the SM policy in SPP.  The current wording would allow for impacts in exceptional circumstances which doesn't reflect policy wording for the WHS in the Proposed LDP or SPP which presumes against development with an adverse impact.  Also suggests a potential weakening of protections.  Recommend that this is changed back to previous wording or otherwise </w:t>
            </w:r>
            <w:r w:rsidRPr="004555B7">
              <w:lastRenderedPageBreak/>
              <w:t>clarified.  We would be happy to discuss if that would be helpful.</w:t>
            </w:r>
          </w:p>
        </w:tc>
        <w:tc>
          <w:tcPr>
            <w:tcW w:w="6237" w:type="dxa"/>
          </w:tcPr>
          <w:p w14:paraId="3189EB2F" w14:textId="082B84B2" w:rsidR="00E566D0" w:rsidRPr="004555B7" w:rsidRDefault="00E566D0" w:rsidP="00E566D0">
            <w:pPr>
              <w:rPr>
                <w:b/>
                <w:bCs/>
              </w:rPr>
            </w:pPr>
            <w:r w:rsidRPr="00E566D0">
              <w:rPr>
                <w:bCs/>
              </w:rPr>
              <w:lastRenderedPageBreak/>
              <w:t>Agree change, including change back to original wording which was stronger and clearer. In first bullet point, replace</w:t>
            </w:r>
            <w:r w:rsidRPr="004555B7">
              <w:rPr>
                <w:b/>
                <w:bCs/>
              </w:rPr>
              <w:t xml:space="preserve"> "will only be permitted in exceptional circumstances" </w:t>
            </w:r>
            <w:r w:rsidRPr="00E566D0">
              <w:rPr>
                <w:bCs/>
              </w:rPr>
              <w:t>with</w:t>
            </w:r>
            <w:r w:rsidRPr="004555B7">
              <w:rPr>
                <w:b/>
                <w:bCs/>
              </w:rPr>
              <w:t xml:space="preserve"> "known or previously unrecognised - will not be permitted. This refers to both Scheduled Monument and </w:t>
            </w:r>
            <w:r>
              <w:rPr>
                <w:b/>
                <w:bCs/>
              </w:rPr>
              <w:t>unscheduled sections of the WHS</w:t>
            </w:r>
            <w:r w:rsidRPr="004555B7">
              <w:rPr>
                <w:b/>
                <w:bCs/>
              </w:rPr>
              <w:t>"</w:t>
            </w:r>
            <w:r>
              <w:rPr>
                <w:b/>
                <w:bCs/>
              </w:rPr>
              <w:t>.</w:t>
            </w:r>
            <w:r w:rsidRPr="004555B7">
              <w:rPr>
                <w:b/>
                <w:bCs/>
              </w:rPr>
              <w:t xml:space="preserve"> </w:t>
            </w:r>
          </w:p>
          <w:p w14:paraId="57B6CF19" w14:textId="77777777" w:rsidR="00E566D0" w:rsidRPr="00B12A35" w:rsidRDefault="00E566D0" w:rsidP="00E566D0"/>
        </w:tc>
      </w:tr>
      <w:tr w:rsidR="00E566D0" w:rsidRPr="00B12A35" w14:paraId="673E8F00" w14:textId="77777777" w:rsidTr="00F42294">
        <w:tc>
          <w:tcPr>
            <w:tcW w:w="2518" w:type="dxa"/>
          </w:tcPr>
          <w:p w14:paraId="79AF99F4" w14:textId="1310499C" w:rsidR="00E566D0" w:rsidRPr="00B12A35" w:rsidRDefault="00E566D0" w:rsidP="00E566D0">
            <w:pPr>
              <w:rPr>
                <w:b/>
              </w:rPr>
            </w:pPr>
            <w:r w:rsidRPr="00725A72">
              <w:rPr>
                <w:b/>
              </w:rPr>
              <w:t>Historic Environment Scotland</w:t>
            </w:r>
          </w:p>
        </w:tc>
        <w:tc>
          <w:tcPr>
            <w:tcW w:w="5127" w:type="dxa"/>
          </w:tcPr>
          <w:p w14:paraId="60B221DF" w14:textId="72E4AFD9" w:rsidR="00E566D0" w:rsidRPr="00B12A35" w:rsidRDefault="00E566D0" w:rsidP="00E566D0">
            <w:r w:rsidRPr="00FB34BA">
              <w:t xml:space="preserve">Section 3.4 Physical Impacts, box of key points, </w:t>
            </w:r>
            <w:proofErr w:type="gramStart"/>
            <w:r w:rsidRPr="00FB34BA">
              <w:t>It</w:t>
            </w:r>
            <w:proofErr w:type="gramEnd"/>
            <w:r w:rsidRPr="00FB34BA">
              <w:t xml:space="preserve"> would be use</w:t>
            </w:r>
            <w:r>
              <w:t xml:space="preserve">ful to include a </w:t>
            </w:r>
            <w:r w:rsidRPr="00FB34BA">
              <w:t>further key point that where the extent or presence of archaeological remains is unclear, pre-determination evaluation will be required.</w:t>
            </w:r>
          </w:p>
        </w:tc>
        <w:tc>
          <w:tcPr>
            <w:tcW w:w="6237" w:type="dxa"/>
          </w:tcPr>
          <w:p w14:paraId="2CCA4825" w14:textId="7735F9F9" w:rsidR="00E566D0" w:rsidRPr="00B12A35" w:rsidRDefault="00E566D0" w:rsidP="00E566D0">
            <w:r w:rsidRPr="00E566D0">
              <w:rPr>
                <w:bCs/>
              </w:rPr>
              <w:t>Agree change. Add bullet point to the end</w:t>
            </w:r>
            <w:r w:rsidRPr="00FB34BA">
              <w:rPr>
                <w:b/>
                <w:bCs/>
              </w:rPr>
              <w:t xml:space="preserve"> "where the extent or presence of archaeological remains is unclear, pre-determinat</w:t>
            </w:r>
            <w:r>
              <w:rPr>
                <w:b/>
                <w:bCs/>
              </w:rPr>
              <w:t>ion evaluation will be required</w:t>
            </w:r>
            <w:r w:rsidRPr="00FB34BA">
              <w:rPr>
                <w:b/>
                <w:bCs/>
              </w:rPr>
              <w:t>"</w:t>
            </w:r>
            <w:r>
              <w:rPr>
                <w:b/>
                <w:bCs/>
              </w:rPr>
              <w:t>.</w:t>
            </w:r>
          </w:p>
        </w:tc>
      </w:tr>
      <w:tr w:rsidR="00E566D0" w:rsidRPr="00B12A35" w14:paraId="1B99776D" w14:textId="77777777" w:rsidTr="00F42294">
        <w:tc>
          <w:tcPr>
            <w:tcW w:w="2518" w:type="dxa"/>
          </w:tcPr>
          <w:p w14:paraId="65ADC5F9" w14:textId="57132EA8" w:rsidR="00E566D0" w:rsidRPr="00B12A35" w:rsidRDefault="00E566D0" w:rsidP="00E566D0">
            <w:pPr>
              <w:rPr>
                <w:b/>
              </w:rPr>
            </w:pPr>
            <w:r w:rsidRPr="00725A72">
              <w:rPr>
                <w:b/>
              </w:rPr>
              <w:t>Historic Environment Scotland</w:t>
            </w:r>
          </w:p>
        </w:tc>
        <w:tc>
          <w:tcPr>
            <w:tcW w:w="5127" w:type="dxa"/>
          </w:tcPr>
          <w:p w14:paraId="5690E062" w14:textId="0223AD18" w:rsidR="00E566D0" w:rsidRPr="00B12A35" w:rsidRDefault="00E566D0" w:rsidP="00E566D0">
            <w:r>
              <w:t xml:space="preserve">Para 3.5.6 </w:t>
            </w:r>
            <w:r w:rsidR="00123935">
              <w:t xml:space="preserve">(now 3.15) </w:t>
            </w:r>
            <w:r w:rsidRPr="00B87B52">
              <w:t>This sentence appears to have been cut off halfway through.</w:t>
            </w:r>
          </w:p>
        </w:tc>
        <w:tc>
          <w:tcPr>
            <w:tcW w:w="6237" w:type="dxa"/>
          </w:tcPr>
          <w:p w14:paraId="0EFD0445" w14:textId="41A9E6E3" w:rsidR="00E566D0" w:rsidRPr="00B12A35" w:rsidRDefault="00E566D0" w:rsidP="00E566D0">
            <w:r w:rsidRPr="00E566D0">
              <w:rPr>
                <w:bCs/>
              </w:rPr>
              <w:t xml:space="preserve">Agree. Add missing text after "scheduled" monument, </w:t>
            </w:r>
            <w:r w:rsidRPr="00B87B52">
              <w:rPr>
                <w:b/>
                <w:bCs/>
              </w:rPr>
              <w:t xml:space="preserve">may also have a setting which will require to be determined on a </w:t>
            </w:r>
            <w:proofErr w:type="gramStart"/>
            <w:r w:rsidRPr="00B87B52">
              <w:rPr>
                <w:b/>
                <w:bCs/>
              </w:rPr>
              <w:t>site by site</w:t>
            </w:r>
            <w:proofErr w:type="gramEnd"/>
            <w:r w:rsidRPr="00B87B52">
              <w:rPr>
                <w:b/>
                <w:bCs/>
              </w:rPr>
              <w:t xml:space="preserve"> basis."</w:t>
            </w:r>
          </w:p>
        </w:tc>
      </w:tr>
      <w:tr w:rsidR="00E566D0" w:rsidRPr="00B12A35" w14:paraId="3A3A85B3" w14:textId="77777777" w:rsidTr="00F42294">
        <w:tc>
          <w:tcPr>
            <w:tcW w:w="2518" w:type="dxa"/>
          </w:tcPr>
          <w:p w14:paraId="6EC69D02" w14:textId="0D9F260B" w:rsidR="00E566D0" w:rsidRPr="00B12A35" w:rsidRDefault="00E566D0" w:rsidP="00E566D0">
            <w:pPr>
              <w:rPr>
                <w:b/>
              </w:rPr>
            </w:pPr>
            <w:r w:rsidRPr="00725A72">
              <w:rPr>
                <w:b/>
              </w:rPr>
              <w:t>Historic Environment Scotland</w:t>
            </w:r>
          </w:p>
        </w:tc>
        <w:tc>
          <w:tcPr>
            <w:tcW w:w="5127" w:type="dxa"/>
          </w:tcPr>
          <w:p w14:paraId="6C632D95" w14:textId="6827D14A" w:rsidR="00B23F2F" w:rsidRDefault="00E566D0" w:rsidP="00E566D0">
            <w:r>
              <w:t>Para 4.3.1</w:t>
            </w:r>
            <w:r w:rsidR="00123935">
              <w:t xml:space="preserve"> (now 4.3)</w:t>
            </w:r>
            <w:r>
              <w:t>, sec</w:t>
            </w:r>
            <w:r w:rsidR="00B23F2F">
              <w:t>tion on careful site selection.</w:t>
            </w:r>
          </w:p>
          <w:p w14:paraId="23E2FFB4" w14:textId="71FCEBE9" w:rsidR="00B23F2F" w:rsidRPr="00B23F2F" w:rsidRDefault="00B23F2F" w:rsidP="00B23F2F">
            <w:r>
              <w:t>F</w:t>
            </w:r>
            <w:r w:rsidRPr="00B23F2F">
              <w:t>irst bullet point - change to read:</w:t>
            </w:r>
          </w:p>
          <w:p w14:paraId="56785E67" w14:textId="7AFFB205" w:rsidR="00B23F2F" w:rsidRPr="00B23F2F" w:rsidRDefault="00B23F2F" w:rsidP="00B23F2F">
            <w:r w:rsidRPr="00B23F2F">
              <w:t>"Site selection should avoid the WHS, in particular those areas which are scheduled”</w:t>
            </w:r>
          </w:p>
          <w:p w14:paraId="4C8E16C7" w14:textId="77777777" w:rsidR="00B23F2F" w:rsidRDefault="00B23F2F" w:rsidP="00E566D0"/>
          <w:p w14:paraId="2D832347" w14:textId="101A7C3E" w:rsidR="00E566D0" w:rsidRPr="00B87B52" w:rsidRDefault="00B23F2F" w:rsidP="00E566D0">
            <w:r>
              <w:t>S</w:t>
            </w:r>
            <w:r w:rsidR="00E566D0">
              <w:t>econd bullet point - c</w:t>
            </w:r>
            <w:r w:rsidR="00E566D0" w:rsidRPr="00B87B52">
              <w:t>hange to read:</w:t>
            </w:r>
          </w:p>
          <w:p w14:paraId="1AED25E0" w14:textId="77777777" w:rsidR="00E566D0" w:rsidRPr="00B87B52" w:rsidRDefault="00E566D0" w:rsidP="00E566D0">
            <w:r w:rsidRPr="00B87B52">
              <w:t>"Site selection within the Buffer Zone should avoid the most sensitive areas and avoid obstructing views..."</w:t>
            </w:r>
          </w:p>
          <w:p w14:paraId="54824B96" w14:textId="77777777" w:rsidR="00E566D0" w:rsidRPr="00B12A35" w:rsidRDefault="00E566D0" w:rsidP="00E566D0"/>
        </w:tc>
        <w:tc>
          <w:tcPr>
            <w:tcW w:w="6237" w:type="dxa"/>
          </w:tcPr>
          <w:p w14:paraId="3084A870" w14:textId="68FD9E68" w:rsidR="00B23F2F" w:rsidRDefault="00E566D0" w:rsidP="00E566D0">
            <w:pPr>
              <w:rPr>
                <w:bCs/>
              </w:rPr>
            </w:pPr>
            <w:r w:rsidRPr="00E566D0">
              <w:rPr>
                <w:bCs/>
              </w:rPr>
              <w:t>Agree change</w:t>
            </w:r>
            <w:r w:rsidR="00B23F2F">
              <w:rPr>
                <w:bCs/>
              </w:rPr>
              <w:t>s</w:t>
            </w:r>
            <w:r w:rsidRPr="00E566D0">
              <w:rPr>
                <w:bCs/>
              </w:rPr>
              <w:t xml:space="preserve">.  </w:t>
            </w:r>
          </w:p>
          <w:p w14:paraId="6CE2246E" w14:textId="77777777" w:rsidR="00B23F2F" w:rsidRDefault="00B23F2F" w:rsidP="00B23F2F">
            <w:pPr>
              <w:rPr>
                <w:bCs/>
              </w:rPr>
            </w:pPr>
          </w:p>
          <w:p w14:paraId="4DF23661" w14:textId="19F10692" w:rsidR="00B23F2F" w:rsidRPr="00B23F2F" w:rsidRDefault="00B23F2F" w:rsidP="00B23F2F">
            <w:pPr>
              <w:rPr>
                <w:bCs/>
              </w:rPr>
            </w:pPr>
            <w:r w:rsidRPr="00B23F2F">
              <w:rPr>
                <w:bCs/>
              </w:rPr>
              <w:t xml:space="preserve">Replace </w:t>
            </w:r>
            <w:r>
              <w:rPr>
                <w:bCs/>
              </w:rPr>
              <w:t>first</w:t>
            </w:r>
            <w:r w:rsidRPr="00B23F2F">
              <w:rPr>
                <w:bCs/>
              </w:rPr>
              <w:t xml:space="preserve"> bullet point with "</w:t>
            </w:r>
            <w:r w:rsidRPr="00B23F2F">
              <w:rPr>
                <w:b/>
                <w:bCs/>
              </w:rPr>
              <w:t>Site selection should avoid the WHS, in particular those areas which are scheduled</w:t>
            </w:r>
            <w:r w:rsidRPr="00B23F2F">
              <w:rPr>
                <w:bCs/>
              </w:rPr>
              <w:t>”</w:t>
            </w:r>
            <w:r>
              <w:rPr>
                <w:bCs/>
              </w:rPr>
              <w:t>.</w:t>
            </w:r>
          </w:p>
          <w:p w14:paraId="1F7F4CC2" w14:textId="77777777" w:rsidR="00B23F2F" w:rsidRDefault="00B23F2F" w:rsidP="00E566D0">
            <w:pPr>
              <w:rPr>
                <w:bCs/>
              </w:rPr>
            </w:pPr>
          </w:p>
          <w:p w14:paraId="16D2B601" w14:textId="4E795359" w:rsidR="00E566D0" w:rsidRPr="00B87B52" w:rsidRDefault="00E566D0" w:rsidP="00E566D0">
            <w:pPr>
              <w:rPr>
                <w:b/>
                <w:bCs/>
              </w:rPr>
            </w:pPr>
            <w:r w:rsidRPr="00E566D0">
              <w:rPr>
                <w:bCs/>
              </w:rPr>
              <w:t xml:space="preserve">Replace second bullet point with </w:t>
            </w:r>
            <w:r w:rsidRPr="00B87B52">
              <w:rPr>
                <w:b/>
                <w:bCs/>
              </w:rPr>
              <w:t xml:space="preserve">"Site selection within the Buffer Zone should avoid the most sensitive areas and avoid obstructing views to/from, and limiting existing access to the WHS;" </w:t>
            </w:r>
          </w:p>
          <w:p w14:paraId="259AAF0E" w14:textId="77777777" w:rsidR="00E566D0" w:rsidRPr="00B12A35" w:rsidRDefault="00E566D0" w:rsidP="00E566D0"/>
        </w:tc>
      </w:tr>
      <w:tr w:rsidR="00E566D0" w:rsidRPr="00B12A35" w14:paraId="517D1768" w14:textId="77777777" w:rsidTr="00F42294">
        <w:tc>
          <w:tcPr>
            <w:tcW w:w="2518" w:type="dxa"/>
          </w:tcPr>
          <w:p w14:paraId="6BC1DBEF" w14:textId="2C9CFD9C" w:rsidR="00E566D0" w:rsidRPr="00B12A35" w:rsidRDefault="00E566D0" w:rsidP="00E566D0">
            <w:pPr>
              <w:rPr>
                <w:b/>
              </w:rPr>
            </w:pPr>
            <w:r w:rsidRPr="00725A72">
              <w:rPr>
                <w:b/>
              </w:rPr>
              <w:t>Historic Environment Scotland</w:t>
            </w:r>
          </w:p>
        </w:tc>
        <w:tc>
          <w:tcPr>
            <w:tcW w:w="5127" w:type="dxa"/>
          </w:tcPr>
          <w:p w14:paraId="1DBA1AD2" w14:textId="7A452B6D" w:rsidR="00E566D0" w:rsidRPr="00B87B52" w:rsidRDefault="00E566D0" w:rsidP="00E566D0">
            <w:r>
              <w:t>Para 4.5.4</w:t>
            </w:r>
            <w:r w:rsidR="00123935">
              <w:t xml:space="preserve"> (now 4.11)</w:t>
            </w:r>
            <w:r>
              <w:t xml:space="preserve"> </w:t>
            </w:r>
            <w:r w:rsidRPr="00B87B52">
              <w:t>If useful a link to HES web pages on enforcement could be added here:</w:t>
            </w:r>
          </w:p>
          <w:p w14:paraId="07A3B944" w14:textId="77777777" w:rsidR="00E566D0" w:rsidRPr="00B87B52" w:rsidRDefault="00E566D0" w:rsidP="00E566D0"/>
          <w:p w14:paraId="2F072A6A" w14:textId="77777777" w:rsidR="00E566D0" w:rsidRPr="00B87B52" w:rsidRDefault="00E566D0" w:rsidP="00E566D0">
            <w:r w:rsidRPr="00B87B52">
              <w:t xml:space="preserve">https://www.historicenvironment.scot/advice-and-support/applying-for-consents/scheduled-monument-consent/compliance/ </w:t>
            </w:r>
          </w:p>
          <w:p w14:paraId="071F62CE" w14:textId="77777777" w:rsidR="00E566D0" w:rsidRPr="00B12A35" w:rsidRDefault="00E566D0" w:rsidP="00E566D0"/>
        </w:tc>
        <w:tc>
          <w:tcPr>
            <w:tcW w:w="6237" w:type="dxa"/>
          </w:tcPr>
          <w:p w14:paraId="40F2EDA3" w14:textId="4615925B" w:rsidR="00E566D0" w:rsidRPr="00B87B52" w:rsidRDefault="00E566D0" w:rsidP="00E566D0">
            <w:pPr>
              <w:rPr>
                <w:b/>
                <w:bCs/>
              </w:rPr>
            </w:pPr>
            <w:r w:rsidRPr="00E566D0">
              <w:rPr>
                <w:bCs/>
              </w:rPr>
              <w:t>Agree change. After "monument" add</w:t>
            </w:r>
            <w:r>
              <w:rPr>
                <w:b/>
                <w:bCs/>
              </w:rPr>
              <w:t xml:space="preserve"> "</w:t>
            </w:r>
            <w:r w:rsidRPr="00B87B52">
              <w:rPr>
                <w:b/>
                <w:bCs/>
              </w:rPr>
              <w:t xml:space="preserve">Further information on this is available on Historic Environment Scotland's </w:t>
            </w:r>
            <w:proofErr w:type="gramStart"/>
            <w:r w:rsidRPr="00B87B52">
              <w:rPr>
                <w:b/>
                <w:bCs/>
              </w:rPr>
              <w:t>website  https://www.historicenvironment.scot/advice-and-support/applying-for-consents/scheduled-monument-consent/compliance/</w:t>
            </w:r>
            <w:proofErr w:type="gramEnd"/>
            <w:r w:rsidRPr="00B87B52">
              <w:rPr>
                <w:b/>
                <w:bCs/>
              </w:rPr>
              <w:t xml:space="preserve"> "</w:t>
            </w:r>
          </w:p>
          <w:p w14:paraId="5A1E24F8" w14:textId="77777777" w:rsidR="00E566D0" w:rsidRPr="00B12A35" w:rsidRDefault="00E566D0" w:rsidP="00E566D0"/>
        </w:tc>
      </w:tr>
      <w:tr w:rsidR="00E566D0" w:rsidRPr="00B12A35" w14:paraId="7FC51AC5" w14:textId="77777777" w:rsidTr="00F42294">
        <w:tc>
          <w:tcPr>
            <w:tcW w:w="2518" w:type="dxa"/>
          </w:tcPr>
          <w:p w14:paraId="390CD48C" w14:textId="42936AD8" w:rsidR="00E566D0" w:rsidRPr="00B12A35" w:rsidRDefault="00E566D0" w:rsidP="00E566D0">
            <w:pPr>
              <w:rPr>
                <w:b/>
              </w:rPr>
            </w:pPr>
            <w:r>
              <w:rPr>
                <w:b/>
              </w:rPr>
              <w:t>Historic Environment Scotland</w:t>
            </w:r>
          </w:p>
        </w:tc>
        <w:tc>
          <w:tcPr>
            <w:tcW w:w="5127" w:type="dxa"/>
          </w:tcPr>
          <w:p w14:paraId="3C42D03B" w14:textId="2C76B823" w:rsidR="00E566D0" w:rsidRPr="00B12A35" w:rsidRDefault="00E566D0" w:rsidP="00E566D0">
            <w:r w:rsidRPr="000F38FC">
              <w:t>We note that the guidance note refers to the policies within Scottish Planning Policy (SPP). Given that SPP will be replaced by the policies within the Fourth National Planning Framework (NPF4) in the relatively near future it may be worth considering</w:t>
            </w:r>
            <w:r>
              <w:t xml:space="preserve"> </w:t>
            </w:r>
            <w:r w:rsidRPr="000F38FC">
              <w:t xml:space="preserve">how this </w:t>
            </w:r>
            <w:r w:rsidRPr="000F38FC">
              <w:lastRenderedPageBreak/>
              <w:t>change can be accommodated both for this note and for the others.</w:t>
            </w:r>
          </w:p>
        </w:tc>
        <w:tc>
          <w:tcPr>
            <w:tcW w:w="6237" w:type="dxa"/>
          </w:tcPr>
          <w:p w14:paraId="4D2A8584" w14:textId="77777777" w:rsidR="00BA1528" w:rsidRPr="00B12A35" w:rsidRDefault="00E566D0" w:rsidP="00BA1528">
            <w:r>
              <w:lastRenderedPageBreak/>
              <w:t xml:space="preserve"> </w:t>
            </w:r>
            <w:r w:rsidR="00BA1528" w:rsidRPr="00B12A35">
              <w:t xml:space="preserve">This supplementary guidance supports Local Development Plan 2, </w:t>
            </w:r>
            <w:r w:rsidR="00BA1528">
              <w:t xml:space="preserve">Whilst this </w:t>
            </w:r>
            <w:r w:rsidR="00BA1528" w:rsidRPr="00B12A35">
              <w:t>was prepared in line with the framework of national planning policy in SPP</w:t>
            </w:r>
            <w:r w:rsidR="00BA1528">
              <w:t xml:space="preserve">, NPF4 is now adopted and constitutes national planning policy. </w:t>
            </w:r>
          </w:p>
          <w:p w14:paraId="6A3B4B50" w14:textId="73510A04" w:rsidR="00E566D0" w:rsidRPr="00B12A35" w:rsidRDefault="00E566D0" w:rsidP="00E566D0"/>
        </w:tc>
      </w:tr>
    </w:tbl>
    <w:p w14:paraId="7C71FFF5" w14:textId="71CC55F5" w:rsidR="00765436" w:rsidRPr="00765436" w:rsidRDefault="00765436" w:rsidP="00E566D0"/>
    <w:sectPr w:rsidR="00765436" w:rsidRPr="00765436" w:rsidSect="00B25DD6">
      <w:footerReference w:type="default" r:id="rId12"/>
      <w:pgSz w:w="16838" w:h="11906" w:orient="landscape"/>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848B3E" w14:textId="77777777" w:rsidR="00853DF5" w:rsidRDefault="00853DF5" w:rsidP="00F12F57">
      <w:pPr>
        <w:spacing w:after="0" w:line="240" w:lineRule="auto"/>
      </w:pPr>
      <w:r>
        <w:separator/>
      </w:r>
    </w:p>
  </w:endnote>
  <w:endnote w:type="continuationSeparator" w:id="0">
    <w:p w14:paraId="3E0E02DC" w14:textId="77777777" w:rsidR="00853DF5" w:rsidRDefault="00853DF5" w:rsidP="00F12F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22451241"/>
      <w:docPartObj>
        <w:docPartGallery w:val="Page Numbers (Bottom of Page)"/>
        <w:docPartUnique/>
      </w:docPartObj>
    </w:sdtPr>
    <w:sdtEndPr>
      <w:rPr>
        <w:noProof/>
      </w:rPr>
    </w:sdtEndPr>
    <w:sdtContent>
      <w:p w14:paraId="1BCF253B" w14:textId="24FA1967" w:rsidR="007C2B85" w:rsidRDefault="007C2B85">
        <w:pPr>
          <w:pStyle w:val="Footer"/>
          <w:jc w:val="right"/>
        </w:pPr>
        <w:r>
          <w:fldChar w:fldCharType="begin"/>
        </w:r>
        <w:r>
          <w:instrText xml:space="preserve"> PAGE   \* MERGEFORMAT </w:instrText>
        </w:r>
        <w:r>
          <w:fldChar w:fldCharType="separate"/>
        </w:r>
        <w:r w:rsidR="001C1BA7">
          <w:rPr>
            <w:noProof/>
          </w:rPr>
          <w:t>39</w:t>
        </w:r>
        <w:r>
          <w:rPr>
            <w:noProof/>
          </w:rPr>
          <w:fldChar w:fldCharType="end"/>
        </w:r>
      </w:p>
    </w:sdtContent>
  </w:sdt>
  <w:p w14:paraId="74D40400" w14:textId="77777777" w:rsidR="007C2B85" w:rsidRDefault="007C2B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B6D96D" w14:textId="77777777" w:rsidR="00853DF5" w:rsidRDefault="00853DF5" w:rsidP="00F12F57">
      <w:pPr>
        <w:spacing w:after="0" w:line="240" w:lineRule="auto"/>
      </w:pPr>
      <w:r>
        <w:separator/>
      </w:r>
    </w:p>
  </w:footnote>
  <w:footnote w:type="continuationSeparator" w:id="0">
    <w:p w14:paraId="3971D126" w14:textId="77777777" w:rsidR="00853DF5" w:rsidRDefault="00853DF5" w:rsidP="00F12F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D28B3"/>
    <w:multiLevelType w:val="hybridMultilevel"/>
    <w:tmpl w:val="3B188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B7217F"/>
    <w:multiLevelType w:val="hybridMultilevel"/>
    <w:tmpl w:val="DA06B9E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5F3E12"/>
    <w:multiLevelType w:val="hybridMultilevel"/>
    <w:tmpl w:val="55F286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6B0FAA"/>
    <w:multiLevelType w:val="hybridMultilevel"/>
    <w:tmpl w:val="1CF8DCE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F23F58"/>
    <w:multiLevelType w:val="hybridMultilevel"/>
    <w:tmpl w:val="CFFEDA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BB90518"/>
    <w:multiLevelType w:val="hybridMultilevel"/>
    <w:tmpl w:val="483237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E71611F"/>
    <w:multiLevelType w:val="hybridMultilevel"/>
    <w:tmpl w:val="3DA2B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3410F4"/>
    <w:multiLevelType w:val="hybridMultilevel"/>
    <w:tmpl w:val="48B81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4F70F0"/>
    <w:multiLevelType w:val="hybridMultilevel"/>
    <w:tmpl w:val="DBA286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CDB6306"/>
    <w:multiLevelType w:val="hybridMultilevel"/>
    <w:tmpl w:val="3FB67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8112B3"/>
    <w:multiLevelType w:val="multilevel"/>
    <w:tmpl w:val="6F7C60A8"/>
    <w:styleLink w:val="Style1"/>
    <w:lvl w:ilvl="0">
      <w:start w:val="1"/>
      <w:numFmt w:val="decimal"/>
      <w:lvlText w:val="%1.0"/>
      <w:lvlJc w:val="left"/>
      <w:pPr>
        <w:tabs>
          <w:tab w:val="num" w:pos="720"/>
        </w:tabs>
        <w:ind w:left="720" w:hanging="720"/>
      </w:pPr>
      <w:rPr>
        <w:rFonts w:hint="default"/>
        <w:b/>
        <w:i w:val="0"/>
        <w:sz w:val="24"/>
        <w:szCs w:val="24"/>
        <w:u w:val="none"/>
      </w:rPr>
    </w:lvl>
    <w:lvl w:ilvl="1">
      <w:start w:val="1"/>
      <w:numFmt w:val="none"/>
      <w:lvlText w:val="2.1"/>
      <w:lvlJc w:val="left"/>
      <w:pPr>
        <w:tabs>
          <w:tab w:val="num" w:pos="1440"/>
        </w:tabs>
        <w:ind w:left="1440" w:hanging="720"/>
      </w:pPr>
      <w:rPr>
        <w:rFonts w:hint="default"/>
        <w:b/>
        <w:i w:val="0"/>
        <w:sz w:val="24"/>
        <w:szCs w:val="24"/>
        <w:u w:val="none"/>
      </w:rPr>
    </w:lvl>
    <w:lvl w:ilvl="2">
      <w:start w:val="1"/>
      <w:numFmt w:val="decimal"/>
      <w:lvlText w:val="%1.%2.%3"/>
      <w:lvlJc w:val="left"/>
      <w:pPr>
        <w:tabs>
          <w:tab w:val="num" w:pos="2160"/>
        </w:tabs>
        <w:ind w:left="2160" w:hanging="720"/>
      </w:pPr>
      <w:rPr>
        <w:rFonts w:hint="default"/>
        <w:b w:val="0"/>
        <w:u w:val="none"/>
      </w:rPr>
    </w:lvl>
    <w:lvl w:ilvl="3">
      <w:start w:val="1"/>
      <w:numFmt w:val="decimal"/>
      <w:lvlText w:val="%1.%2.%3.%4"/>
      <w:lvlJc w:val="left"/>
      <w:pPr>
        <w:tabs>
          <w:tab w:val="num" w:pos="2880"/>
        </w:tabs>
        <w:ind w:left="2880" w:hanging="720"/>
      </w:pPr>
      <w:rPr>
        <w:rFonts w:hint="default"/>
        <w:u w:val="none"/>
      </w:rPr>
    </w:lvl>
    <w:lvl w:ilvl="4">
      <w:start w:val="1"/>
      <w:numFmt w:val="decimal"/>
      <w:lvlText w:val="%1.%2.%3.%4.%5"/>
      <w:lvlJc w:val="left"/>
      <w:pPr>
        <w:tabs>
          <w:tab w:val="num" w:pos="3960"/>
        </w:tabs>
        <w:ind w:left="3960" w:hanging="1080"/>
      </w:pPr>
      <w:rPr>
        <w:rFonts w:hint="default"/>
        <w:u w:val="none"/>
      </w:rPr>
    </w:lvl>
    <w:lvl w:ilvl="5">
      <w:start w:val="1"/>
      <w:numFmt w:val="decimal"/>
      <w:lvlText w:val="%1.%2.%3.%4.%5.%6"/>
      <w:lvlJc w:val="left"/>
      <w:pPr>
        <w:tabs>
          <w:tab w:val="num" w:pos="4680"/>
        </w:tabs>
        <w:ind w:left="4680" w:hanging="1080"/>
      </w:pPr>
      <w:rPr>
        <w:rFonts w:hint="default"/>
        <w:u w:val="none"/>
      </w:rPr>
    </w:lvl>
    <w:lvl w:ilvl="6">
      <w:start w:val="1"/>
      <w:numFmt w:val="decimal"/>
      <w:lvlText w:val="%1.%2.%3.%4.%5.%6.%7"/>
      <w:lvlJc w:val="left"/>
      <w:pPr>
        <w:tabs>
          <w:tab w:val="num" w:pos="5760"/>
        </w:tabs>
        <w:ind w:left="5760" w:hanging="1440"/>
      </w:pPr>
      <w:rPr>
        <w:rFonts w:hint="default"/>
        <w:u w:val="none"/>
      </w:rPr>
    </w:lvl>
    <w:lvl w:ilvl="7">
      <w:start w:val="1"/>
      <w:numFmt w:val="decimal"/>
      <w:lvlText w:val="%1.%2.%3.%4.%5.%6.%7.%8"/>
      <w:lvlJc w:val="left"/>
      <w:pPr>
        <w:tabs>
          <w:tab w:val="num" w:pos="6480"/>
        </w:tabs>
        <w:ind w:left="6480" w:hanging="1440"/>
      </w:pPr>
      <w:rPr>
        <w:rFonts w:hint="default"/>
        <w:u w:val="none"/>
      </w:rPr>
    </w:lvl>
    <w:lvl w:ilvl="8">
      <w:start w:val="1"/>
      <w:numFmt w:val="decimal"/>
      <w:lvlText w:val="%1.%2.%3.%4.%5.%6.%7.%8.%9"/>
      <w:lvlJc w:val="left"/>
      <w:pPr>
        <w:tabs>
          <w:tab w:val="num" w:pos="7200"/>
        </w:tabs>
        <w:ind w:left="7200" w:hanging="1440"/>
      </w:pPr>
      <w:rPr>
        <w:rFonts w:hint="default"/>
        <w:u w:val="none"/>
      </w:rPr>
    </w:lvl>
  </w:abstractNum>
  <w:abstractNum w:abstractNumId="11" w15:restartNumberingAfterBreak="0">
    <w:nsid w:val="446112B9"/>
    <w:multiLevelType w:val="multilevel"/>
    <w:tmpl w:val="6F7C60A8"/>
    <w:lvl w:ilvl="0">
      <w:start w:val="1"/>
      <w:numFmt w:val="decimal"/>
      <w:lvlText w:val="%1.0"/>
      <w:lvlJc w:val="left"/>
      <w:pPr>
        <w:tabs>
          <w:tab w:val="num" w:pos="720"/>
        </w:tabs>
        <w:ind w:left="720" w:hanging="720"/>
      </w:pPr>
      <w:rPr>
        <w:rFonts w:hint="default"/>
        <w:b/>
        <w:i w:val="0"/>
        <w:sz w:val="24"/>
        <w:szCs w:val="24"/>
        <w:u w:val="none"/>
      </w:rPr>
    </w:lvl>
    <w:lvl w:ilvl="1">
      <w:start w:val="1"/>
      <w:numFmt w:val="none"/>
      <w:lvlText w:val="2.1"/>
      <w:lvlJc w:val="left"/>
      <w:pPr>
        <w:tabs>
          <w:tab w:val="num" w:pos="1440"/>
        </w:tabs>
        <w:ind w:left="1440" w:hanging="720"/>
      </w:pPr>
      <w:rPr>
        <w:rFonts w:hint="default"/>
        <w:b/>
        <w:i w:val="0"/>
        <w:sz w:val="24"/>
        <w:szCs w:val="24"/>
        <w:u w:val="none"/>
      </w:rPr>
    </w:lvl>
    <w:lvl w:ilvl="2">
      <w:start w:val="1"/>
      <w:numFmt w:val="decimal"/>
      <w:lvlText w:val="%1.%2.%3"/>
      <w:lvlJc w:val="left"/>
      <w:pPr>
        <w:tabs>
          <w:tab w:val="num" w:pos="2160"/>
        </w:tabs>
        <w:ind w:left="2160" w:hanging="720"/>
      </w:pPr>
      <w:rPr>
        <w:rFonts w:hint="default"/>
        <w:b w:val="0"/>
        <w:u w:val="none"/>
      </w:rPr>
    </w:lvl>
    <w:lvl w:ilvl="3">
      <w:start w:val="1"/>
      <w:numFmt w:val="decimal"/>
      <w:lvlText w:val="%1.%2.%3.%4"/>
      <w:lvlJc w:val="left"/>
      <w:pPr>
        <w:tabs>
          <w:tab w:val="num" w:pos="2880"/>
        </w:tabs>
        <w:ind w:left="2880" w:hanging="720"/>
      </w:pPr>
      <w:rPr>
        <w:rFonts w:hint="default"/>
        <w:u w:val="none"/>
      </w:rPr>
    </w:lvl>
    <w:lvl w:ilvl="4">
      <w:start w:val="1"/>
      <w:numFmt w:val="decimal"/>
      <w:lvlText w:val="%1.%2.%3.%4.%5"/>
      <w:lvlJc w:val="left"/>
      <w:pPr>
        <w:tabs>
          <w:tab w:val="num" w:pos="3960"/>
        </w:tabs>
        <w:ind w:left="3960" w:hanging="1080"/>
      </w:pPr>
      <w:rPr>
        <w:rFonts w:hint="default"/>
        <w:u w:val="none"/>
      </w:rPr>
    </w:lvl>
    <w:lvl w:ilvl="5">
      <w:start w:val="1"/>
      <w:numFmt w:val="decimal"/>
      <w:lvlText w:val="%1.%2.%3.%4.%5.%6"/>
      <w:lvlJc w:val="left"/>
      <w:pPr>
        <w:tabs>
          <w:tab w:val="num" w:pos="4680"/>
        </w:tabs>
        <w:ind w:left="4680" w:hanging="1080"/>
      </w:pPr>
      <w:rPr>
        <w:rFonts w:hint="default"/>
        <w:u w:val="none"/>
      </w:rPr>
    </w:lvl>
    <w:lvl w:ilvl="6">
      <w:start w:val="1"/>
      <w:numFmt w:val="decimal"/>
      <w:lvlText w:val="%1.%2.%3.%4.%5.%6.%7"/>
      <w:lvlJc w:val="left"/>
      <w:pPr>
        <w:tabs>
          <w:tab w:val="num" w:pos="5760"/>
        </w:tabs>
        <w:ind w:left="5760" w:hanging="1440"/>
      </w:pPr>
      <w:rPr>
        <w:rFonts w:hint="default"/>
        <w:u w:val="none"/>
      </w:rPr>
    </w:lvl>
    <w:lvl w:ilvl="7">
      <w:start w:val="1"/>
      <w:numFmt w:val="decimal"/>
      <w:lvlText w:val="%1.%2.%3.%4.%5.%6.%7.%8"/>
      <w:lvlJc w:val="left"/>
      <w:pPr>
        <w:tabs>
          <w:tab w:val="num" w:pos="6480"/>
        </w:tabs>
        <w:ind w:left="6480" w:hanging="1440"/>
      </w:pPr>
      <w:rPr>
        <w:rFonts w:hint="default"/>
        <w:u w:val="none"/>
      </w:rPr>
    </w:lvl>
    <w:lvl w:ilvl="8">
      <w:start w:val="1"/>
      <w:numFmt w:val="decimal"/>
      <w:lvlText w:val="%1.%2.%3.%4.%5.%6.%7.%8.%9"/>
      <w:lvlJc w:val="left"/>
      <w:pPr>
        <w:tabs>
          <w:tab w:val="num" w:pos="7200"/>
        </w:tabs>
        <w:ind w:left="7200" w:hanging="1440"/>
      </w:pPr>
      <w:rPr>
        <w:rFonts w:hint="default"/>
        <w:u w:val="none"/>
      </w:rPr>
    </w:lvl>
  </w:abstractNum>
  <w:abstractNum w:abstractNumId="12" w15:restartNumberingAfterBreak="0">
    <w:nsid w:val="44EA17E3"/>
    <w:multiLevelType w:val="hybridMultilevel"/>
    <w:tmpl w:val="41AE3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ED4256"/>
    <w:multiLevelType w:val="hybridMultilevel"/>
    <w:tmpl w:val="31946A4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4" w15:restartNumberingAfterBreak="0">
    <w:nsid w:val="4BAC429B"/>
    <w:multiLevelType w:val="hybridMultilevel"/>
    <w:tmpl w:val="01D47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6A4983"/>
    <w:multiLevelType w:val="multilevel"/>
    <w:tmpl w:val="C0A2BC0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54B8716F"/>
    <w:multiLevelType w:val="hybridMultilevel"/>
    <w:tmpl w:val="0E68F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073A76"/>
    <w:multiLevelType w:val="hybridMultilevel"/>
    <w:tmpl w:val="A984DB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E094BD3"/>
    <w:multiLevelType w:val="hybridMultilevel"/>
    <w:tmpl w:val="3FE6C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1076B0"/>
    <w:multiLevelType w:val="hybridMultilevel"/>
    <w:tmpl w:val="20F01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4905F6"/>
    <w:multiLevelType w:val="multilevel"/>
    <w:tmpl w:val="6F7C60A8"/>
    <w:numStyleLink w:val="Style1"/>
  </w:abstractNum>
  <w:abstractNum w:abstractNumId="21" w15:restartNumberingAfterBreak="0">
    <w:nsid w:val="6395250E"/>
    <w:multiLevelType w:val="hybridMultilevel"/>
    <w:tmpl w:val="885E1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A4A7555"/>
    <w:multiLevelType w:val="hybridMultilevel"/>
    <w:tmpl w:val="32483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CDA34F5"/>
    <w:multiLevelType w:val="hybridMultilevel"/>
    <w:tmpl w:val="CF68429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4" w15:restartNumberingAfterBreak="0">
    <w:nsid w:val="6D714464"/>
    <w:multiLevelType w:val="multilevel"/>
    <w:tmpl w:val="BBFAFDAE"/>
    <w:lvl w:ilvl="0">
      <w:start w:val="1"/>
      <w:numFmt w:val="decimal"/>
      <w:lvlText w:val="%1.0"/>
      <w:lvlJc w:val="left"/>
      <w:pPr>
        <w:tabs>
          <w:tab w:val="num" w:pos="720"/>
        </w:tabs>
        <w:ind w:left="720" w:hanging="720"/>
      </w:pPr>
      <w:rPr>
        <w:rFonts w:hint="default"/>
        <w:b/>
        <w:i w:val="0"/>
        <w:sz w:val="24"/>
        <w:szCs w:val="24"/>
        <w:u w:val="none"/>
      </w:rPr>
    </w:lvl>
    <w:lvl w:ilvl="1">
      <w:start w:val="1"/>
      <w:numFmt w:val="decimal"/>
      <w:lvlText w:val="%1.%2"/>
      <w:lvlJc w:val="left"/>
      <w:pPr>
        <w:tabs>
          <w:tab w:val="num" w:pos="1440"/>
        </w:tabs>
        <w:ind w:left="1440" w:hanging="720"/>
      </w:pPr>
      <w:rPr>
        <w:rFonts w:hint="default"/>
        <w:b w:val="0"/>
        <w:i w:val="0"/>
        <w:sz w:val="24"/>
        <w:szCs w:val="24"/>
        <w:u w:val="none"/>
      </w:rPr>
    </w:lvl>
    <w:lvl w:ilvl="2">
      <w:start w:val="1"/>
      <w:numFmt w:val="decimal"/>
      <w:lvlText w:val="%1.%2.%3"/>
      <w:lvlJc w:val="left"/>
      <w:pPr>
        <w:tabs>
          <w:tab w:val="num" w:pos="2160"/>
        </w:tabs>
        <w:ind w:left="2160" w:hanging="720"/>
      </w:pPr>
      <w:rPr>
        <w:rFonts w:hint="default"/>
        <w:b w:val="0"/>
        <w:u w:val="none"/>
      </w:rPr>
    </w:lvl>
    <w:lvl w:ilvl="3">
      <w:start w:val="1"/>
      <w:numFmt w:val="decimal"/>
      <w:lvlText w:val="%1.%2.%3.%4"/>
      <w:lvlJc w:val="left"/>
      <w:pPr>
        <w:tabs>
          <w:tab w:val="num" w:pos="2880"/>
        </w:tabs>
        <w:ind w:left="2880" w:hanging="720"/>
      </w:pPr>
      <w:rPr>
        <w:rFonts w:hint="default"/>
        <w:u w:val="none"/>
      </w:rPr>
    </w:lvl>
    <w:lvl w:ilvl="4">
      <w:start w:val="1"/>
      <w:numFmt w:val="decimal"/>
      <w:lvlText w:val="%1.%2.%3.%4.%5"/>
      <w:lvlJc w:val="left"/>
      <w:pPr>
        <w:tabs>
          <w:tab w:val="num" w:pos="3960"/>
        </w:tabs>
        <w:ind w:left="3960" w:hanging="1080"/>
      </w:pPr>
      <w:rPr>
        <w:rFonts w:hint="default"/>
        <w:u w:val="none"/>
      </w:rPr>
    </w:lvl>
    <w:lvl w:ilvl="5">
      <w:start w:val="1"/>
      <w:numFmt w:val="decimal"/>
      <w:lvlText w:val="%1.%2.%3.%4.%5.%6"/>
      <w:lvlJc w:val="left"/>
      <w:pPr>
        <w:tabs>
          <w:tab w:val="num" w:pos="4680"/>
        </w:tabs>
        <w:ind w:left="4680" w:hanging="1080"/>
      </w:pPr>
      <w:rPr>
        <w:rFonts w:hint="default"/>
        <w:u w:val="none"/>
      </w:rPr>
    </w:lvl>
    <w:lvl w:ilvl="6">
      <w:start w:val="1"/>
      <w:numFmt w:val="decimal"/>
      <w:lvlText w:val="%1.%2.%3.%4.%5.%6.%7"/>
      <w:lvlJc w:val="left"/>
      <w:pPr>
        <w:tabs>
          <w:tab w:val="num" w:pos="5760"/>
        </w:tabs>
        <w:ind w:left="5760" w:hanging="1440"/>
      </w:pPr>
      <w:rPr>
        <w:rFonts w:hint="default"/>
        <w:u w:val="none"/>
      </w:rPr>
    </w:lvl>
    <w:lvl w:ilvl="7">
      <w:start w:val="1"/>
      <w:numFmt w:val="decimal"/>
      <w:lvlText w:val="%1.%2.%3.%4.%5.%6.%7.%8"/>
      <w:lvlJc w:val="left"/>
      <w:pPr>
        <w:tabs>
          <w:tab w:val="num" w:pos="6480"/>
        </w:tabs>
        <w:ind w:left="6480" w:hanging="1440"/>
      </w:pPr>
      <w:rPr>
        <w:rFonts w:hint="default"/>
        <w:u w:val="none"/>
      </w:rPr>
    </w:lvl>
    <w:lvl w:ilvl="8">
      <w:start w:val="1"/>
      <w:numFmt w:val="decimal"/>
      <w:lvlText w:val="%1.%2.%3.%4.%5.%6.%7.%8.%9"/>
      <w:lvlJc w:val="left"/>
      <w:pPr>
        <w:tabs>
          <w:tab w:val="num" w:pos="7200"/>
        </w:tabs>
        <w:ind w:left="7200" w:hanging="1440"/>
      </w:pPr>
      <w:rPr>
        <w:rFonts w:hint="default"/>
        <w:u w:val="none"/>
      </w:rPr>
    </w:lvl>
  </w:abstractNum>
  <w:abstractNum w:abstractNumId="25" w15:restartNumberingAfterBreak="0">
    <w:nsid w:val="6E102D7E"/>
    <w:multiLevelType w:val="hybridMultilevel"/>
    <w:tmpl w:val="E5A45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E51520"/>
    <w:multiLevelType w:val="hybridMultilevel"/>
    <w:tmpl w:val="2E8E4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FA319F2"/>
    <w:multiLevelType w:val="hybridMultilevel"/>
    <w:tmpl w:val="E2EC3D76"/>
    <w:lvl w:ilvl="0" w:tplc="39C0F838">
      <w:start w:val="1"/>
      <w:numFmt w:val="decimal"/>
      <w:pStyle w:val="TOC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FC80A61"/>
    <w:multiLevelType w:val="hybridMultilevel"/>
    <w:tmpl w:val="601A4E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77986109"/>
    <w:multiLevelType w:val="hybridMultilevel"/>
    <w:tmpl w:val="BBB20E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783140CC"/>
    <w:multiLevelType w:val="hybridMultilevel"/>
    <w:tmpl w:val="3EB29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9254503"/>
    <w:multiLevelType w:val="hybridMultilevel"/>
    <w:tmpl w:val="749C0A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79575D7C"/>
    <w:multiLevelType w:val="hybridMultilevel"/>
    <w:tmpl w:val="3796E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E497F06"/>
    <w:multiLevelType w:val="hybridMultilevel"/>
    <w:tmpl w:val="934C53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E526D88"/>
    <w:multiLevelType w:val="hybridMultilevel"/>
    <w:tmpl w:val="B3AE8760"/>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35" w15:restartNumberingAfterBreak="0">
    <w:nsid w:val="7FC03939"/>
    <w:multiLevelType w:val="hybridMultilevel"/>
    <w:tmpl w:val="F5F0BA6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16cid:durableId="1177421904">
    <w:abstractNumId w:val="4"/>
  </w:num>
  <w:num w:numId="2" w16cid:durableId="661743298">
    <w:abstractNumId w:val="27"/>
  </w:num>
  <w:num w:numId="3" w16cid:durableId="1405106468">
    <w:abstractNumId w:val="3"/>
  </w:num>
  <w:num w:numId="4" w16cid:durableId="29377427">
    <w:abstractNumId w:val="35"/>
  </w:num>
  <w:num w:numId="5" w16cid:durableId="744839161">
    <w:abstractNumId w:val="9"/>
  </w:num>
  <w:num w:numId="6" w16cid:durableId="306782024">
    <w:abstractNumId w:val="23"/>
  </w:num>
  <w:num w:numId="7" w16cid:durableId="85002996">
    <w:abstractNumId w:val="32"/>
  </w:num>
  <w:num w:numId="8" w16cid:durableId="865288362">
    <w:abstractNumId w:val="26"/>
  </w:num>
  <w:num w:numId="9" w16cid:durableId="687172855">
    <w:abstractNumId w:val="19"/>
  </w:num>
  <w:num w:numId="10" w16cid:durableId="1293361289">
    <w:abstractNumId w:val="18"/>
  </w:num>
  <w:num w:numId="11" w16cid:durableId="576862533">
    <w:abstractNumId w:val="6"/>
  </w:num>
  <w:num w:numId="12" w16cid:durableId="1148940145">
    <w:abstractNumId w:val="22"/>
  </w:num>
  <w:num w:numId="13" w16cid:durableId="1997032289">
    <w:abstractNumId w:val="30"/>
  </w:num>
  <w:num w:numId="14" w16cid:durableId="1861509134">
    <w:abstractNumId w:val="0"/>
  </w:num>
  <w:num w:numId="15" w16cid:durableId="207498662">
    <w:abstractNumId w:val="7"/>
  </w:num>
  <w:num w:numId="16" w16cid:durableId="623774003">
    <w:abstractNumId w:val="14"/>
  </w:num>
  <w:num w:numId="17" w16cid:durableId="116065102">
    <w:abstractNumId w:val="12"/>
  </w:num>
  <w:num w:numId="18" w16cid:durableId="352147994">
    <w:abstractNumId w:val="16"/>
  </w:num>
  <w:num w:numId="19" w16cid:durableId="1706713064">
    <w:abstractNumId w:val="34"/>
  </w:num>
  <w:num w:numId="20" w16cid:durableId="2037150508">
    <w:abstractNumId w:val="1"/>
  </w:num>
  <w:num w:numId="21" w16cid:durableId="1123497213">
    <w:abstractNumId w:val="5"/>
  </w:num>
  <w:num w:numId="22" w16cid:durableId="2083672826">
    <w:abstractNumId w:val="13"/>
  </w:num>
  <w:num w:numId="23" w16cid:durableId="1770345513">
    <w:abstractNumId w:val="24"/>
  </w:num>
  <w:num w:numId="24" w16cid:durableId="583035149">
    <w:abstractNumId w:val="11"/>
  </w:num>
  <w:num w:numId="25" w16cid:durableId="1500653064">
    <w:abstractNumId w:val="10"/>
  </w:num>
  <w:num w:numId="26" w16cid:durableId="1275557064">
    <w:abstractNumId w:val="20"/>
  </w:num>
  <w:num w:numId="27" w16cid:durableId="1489134836">
    <w:abstractNumId w:val="28"/>
  </w:num>
  <w:num w:numId="28" w16cid:durableId="1798793318">
    <w:abstractNumId w:val="25"/>
  </w:num>
  <w:num w:numId="29" w16cid:durableId="1176653444">
    <w:abstractNumId w:val="21"/>
  </w:num>
  <w:num w:numId="30" w16cid:durableId="2106337433">
    <w:abstractNumId w:val="29"/>
  </w:num>
  <w:num w:numId="31" w16cid:durableId="1208104510">
    <w:abstractNumId w:val="2"/>
  </w:num>
  <w:num w:numId="32" w16cid:durableId="561674786">
    <w:abstractNumId w:val="8"/>
  </w:num>
  <w:num w:numId="33" w16cid:durableId="1301418342">
    <w:abstractNumId w:val="33"/>
  </w:num>
  <w:num w:numId="34" w16cid:durableId="1748184068">
    <w:abstractNumId w:val="17"/>
  </w:num>
  <w:num w:numId="35" w16cid:durableId="299845712">
    <w:abstractNumId w:val="15"/>
  </w:num>
  <w:num w:numId="36" w16cid:durableId="1959410734">
    <w:abstractNumId w:val="3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CC3"/>
    <w:rsid w:val="00000956"/>
    <w:rsid w:val="00007100"/>
    <w:rsid w:val="00011FDF"/>
    <w:rsid w:val="00013881"/>
    <w:rsid w:val="000257E9"/>
    <w:rsid w:val="000553E6"/>
    <w:rsid w:val="00062536"/>
    <w:rsid w:val="00063977"/>
    <w:rsid w:val="00070AC5"/>
    <w:rsid w:val="00074E40"/>
    <w:rsid w:val="0007518D"/>
    <w:rsid w:val="00080B53"/>
    <w:rsid w:val="00081EAB"/>
    <w:rsid w:val="0008463F"/>
    <w:rsid w:val="0009485F"/>
    <w:rsid w:val="00095863"/>
    <w:rsid w:val="000B4E59"/>
    <w:rsid w:val="000E2EB8"/>
    <w:rsid w:val="000F6FFB"/>
    <w:rsid w:val="00114E10"/>
    <w:rsid w:val="00123935"/>
    <w:rsid w:val="00123C32"/>
    <w:rsid w:val="00131BA1"/>
    <w:rsid w:val="001334AD"/>
    <w:rsid w:val="00142367"/>
    <w:rsid w:val="00150451"/>
    <w:rsid w:val="0015629F"/>
    <w:rsid w:val="0016037A"/>
    <w:rsid w:val="00166F97"/>
    <w:rsid w:val="0018029D"/>
    <w:rsid w:val="00190575"/>
    <w:rsid w:val="001C00A2"/>
    <w:rsid w:val="001C1BA7"/>
    <w:rsid w:val="001E028B"/>
    <w:rsid w:val="001E2595"/>
    <w:rsid w:val="001E364A"/>
    <w:rsid w:val="001E4FB3"/>
    <w:rsid w:val="001F6FA2"/>
    <w:rsid w:val="0022087B"/>
    <w:rsid w:val="002226DA"/>
    <w:rsid w:val="00240A7D"/>
    <w:rsid w:val="00260C9D"/>
    <w:rsid w:val="00261F15"/>
    <w:rsid w:val="0027129D"/>
    <w:rsid w:val="0027312B"/>
    <w:rsid w:val="00275179"/>
    <w:rsid w:val="0028222B"/>
    <w:rsid w:val="00291436"/>
    <w:rsid w:val="002B594D"/>
    <w:rsid w:val="002B5C88"/>
    <w:rsid w:val="002C5D24"/>
    <w:rsid w:val="002D00AE"/>
    <w:rsid w:val="002F6E9C"/>
    <w:rsid w:val="00321B23"/>
    <w:rsid w:val="003237DE"/>
    <w:rsid w:val="003336DD"/>
    <w:rsid w:val="00337D7C"/>
    <w:rsid w:val="00346C29"/>
    <w:rsid w:val="00353B2E"/>
    <w:rsid w:val="00357CE0"/>
    <w:rsid w:val="00361BBB"/>
    <w:rsid w:val="00367E2E"/>
    <w:rsid w:val="003A2B21"/>
    <w:rsid w:val="003B7722"/>
    <w:rsid w:val="003C0EFB"/>
    <w:rsid w:val="003C1F65"/>
    <w:rsid w:val="003D3DBD"/>
    <w:rsid w:val="003D6240"/>
    <w:rsid w:val="003D69C7"/>
    <w:rsid w:val="003E24A9"/>
    <w:rsid w:val="004029D2"/>
    <w:rsid w:val="004056B8"/>
    <w:rsid w:val="00413D15"/>
    <w:rsid w:val="00450BF8"/>
    <w:rsid w:val="00471309"/>
    <w:rsid w:val="00483C60"/>
    <w:rsid w:val="00487227"/>
    <w:rsid w:val="004A40EF"/>
    <w:rsid w:val="004C163B"/>
    <w:rsid w:val="004D4FF4"/>
    <w:rsid w:val="004E1526"/>
    <w:rsid w:val="004E664A"/>
    <w:rsid w:val="004F1255"/>
    <w:rsid w:val="00520B79"/>
    <w:rsid w:val="00527C90"/>
    <w:rsid w:val="0053620B"/>
    <w:rsid w:val="00537301"/>
    <w:rsid w:val="00537A01"/>
    <w:rsid w:val="00556033"/>
    <w:rsid w:val="00574C0A"/>
    <w:rsid w:val="00582251"/>
    <w:rsid w:val="005A7FA1"/>
    <w:rsid w:val="005B3DEC"/>
    <w:rsid w:val="005C1117"/>
    <w:rsid w:val="005C489F"/>
    <w:rsid w:val="005C4BEE"/>
    <w:rsid w:val="005C52B6"/>
    <w:rsid w:val="005D2A5C"/>
    <w:rsid w:val="005E76F9"/>
    <w:rsid w:val="005F233A"/>
    <w:rsid w:val="0060395E"/>
    <w:rsid w:val="00604924"/>
    <w:rsid w:val="00605C6D"/>
    <w:rsid w:val="00627465"/>
    <w:rsid w:val="00631EA4"/>
    <w:rsid w:val="00671226"/>
    <w:rsid w:val="0067150F"/>
    <w:rsid w:val="00675B90"/>
    <w:rsid w:val="006937CA"/>
    <w:rsid w:val="00695430"/>
    <w:rsid w:val="006C0561"/>
    <w:rsid w:val="006C3448"/>
    <w:rsid w:val="006D1410"/>
    <w:rsid w:val="006E5905"/>
    <w:rsid w:val="00707538"/>
    <w:rsid w:val="0071247E"/>
    <w:rsid w:val="007133C3"/>
    <w:rsid w:val="007341C7"/>
    <w:rsid w:val="00741BC8"/>
    <w:rsid w:val="007434F3"/>
    <w:rsid w:val="00752CC9"/>
    <w:rsid w:val="00765436"/>
    <w:rsid w:val="00766DAC"/>
    <w:rsid w:val="00771157"/>
    <w:rsid w:val="00790875"/>
    <w:rsid w:val="00793A82"/>
    <w:rsid w:val="007A4A11"/>
    <w:rsid w:val="007A4A26"/>
    <w:rsid w:val="007C10CA"/>
    <w:rsid w:val="007C2B85"/>
    <w:rsid w:val="007D0451"/>
    <w:rsid w:val="007D5E98"/>
    <w:rsid w:val="007F6236"/>
    <w:rsid w:val="008148ED"/>
    <w:rsid w:val="008172DF"/>
    <w:rsid w:val="00820451"/>
    <w:rsid w:val="0082112F"/>
    <w:rsid w:val="008310CC"/>
    <w:rsid w:val="00843062"/>
    <w:rsid w:val="00853DF5"/>
    <w:rsid w:val="00855DA2"/>
    <w:rsid w:val="00871188"/>
    <w:rsid w:val="00871FB4"/>
    <w:rsid w:val="008746DD"/>
    <w:rsid w:val="00875964"/>
    <w:rsid w:val="008860EC"/>
    <w:rsid w:val="008876DF"/>
    <w:rsid w:val="008928F2"/>
    <w:rsid w:val="008C6347"/>
    <w:rsid w:val="008D08EA"/>
    <w:rsid w:val="008D5B57"/>
    <w:rsid w:val="008D762E"/>
    <w:rsid w:val="0090002B"/>
    <w:rsid w:val="009044EB"/>
    <w:rsid w:val="0090631D"/>
    <w:rsid w:val="009117E0"/>
    <w:rsid w:val="009245B4"/>
    <w:rsid w:val="00930568"/>
    <w:rsid w:val="00947DFB"/>
    <w:rsid w:val="00952592"/>
    <w:rsid w:val="009659CA"/>
    <w:rsid w:val="00966104"/>
    <w:rsid w:val="00967E4A"/>
    <w:rsid w:val="009804F6"/>
    <w:rsid w:val="00982914"/>
    <w:rsid w:val="00985E27"/>
    <w:rsid w:val="00991B58"/>
    <w:rsid w:val="00994422"/>
    <w:rsid w:val="009975B1"/>
    <w:rsid w:val="009C0899"/>
    <w:rsid w:val="009C4D27"/>
    <w:rsid w:val="009D1AF1"/>
    <w:rsid w:val="009D3CAA"/>
    <w:rsid w:val="009D7227"/>
    <w:rsid w:val="009E4672"/>
    <w:rsid w:val="009F22BE"/>
    <w:rsid w:val="00A0209B"/>
    <w:rsid w:val="00A07AE9"/>
    <w:rsid w:val="00A2495A"/>
    <w:rsid w:val="00A36194"/>
    <w:rsid w:val="00A5323A"/>
    <w:rsid w:val="00A55451"/>
    <w:rsid w:val="00A73248"/>
    <w:rsid w:val="00A77A40"/>
    <w:rsid w:val="00A8280E"/>
    <w:rsid w:val="00A85156"/>
    <w:rsid w:val="00AD67DC"/>
    <w:rsid w:val="00AF0659"/>
    <w:rsid w:val="00B0276F"/>
    <w:rsid w:val="00B027AF"/>
    <w:rsid w:val="00B077AE"/>
    <w:rsid w:val="00B120E3"/>
    <w:rsid w:val="00B12A35"/>
    <w:rsid w:val="00B14CC3"/>
    <w:rsid w:val="00B219F5"/>
    <w:rsid w:val="00B23F2F"/>
    <w:rsid w:val="00B25477"/>
    <w:rsid w:val="00B25DD6"/>
    <w:rsid w:val="00B362BF"/>
    <w:rsid w:val="00B52F89"/>
    <w:rsid w:val="00B60E3B"/>
    <w:rsid w:val="00B72617"/>
    <w:rsid w:val="00B816E1"/>
    <w:rsid w:val="00B9535F"/>
    <w:rsid w:val="00BA1454"/>
    <w:rsid w:val="00BA1528"/>
    <w:rsid w:val="00BB5549"/>
    <w:rsid w:val="00BC2E55"/>
    <w:rsid w:val="00BE5304"/>
    <w:rsid w:val="00BE58E2"/>
    <w:rsid w:val="00BE5ADE"/>
    <w:rsid w:val="00BF2F90"/>
    <w:rsid w:val="00BF527F"/>
    <w:rsid w:val="00C06700"/>
    <w:rsid w:val="00C15AAE"/>
    <w:rsid w:val="00C270A0"/>
    <w:rsid w:val="00C3448F"/>
    <w:rsid w:val="00C44C2C"/>
    <w:rsid w:val="00C550C7"/>
    <w:rsid w:val="00C71DD8"/>
    <w:rsid w:val="00C7416A"/>
    <w:rsid w:val="00C910A8"/>
    <w:rsid w:val="00C93567"/>
    <w:rsid w:val="00C93B6A"/>
    <w:rsid w:val="00CA05FB"/>
    <w:rsid w:val="00CA2B56"/>
    <w:rsid w:val="00CB48A3"/>
    <w:rsid w:val="00CC4395"/>
    <w:rsid w:val="00CD2F77"/>
    <w:rsid w:val="00CD3BEC"/>
    <w:rsid w:val="00CD52DA"/>
    <w:rsid w:val="00CE1DE9"/>
    <w:rsid w:val="00CE7C78"/>
    <w:rsid w:val="00D03306"/>
    <w:rsid w:val="00D07A33"/>
    <w:rsid w:val="00D10323"/>
    <w:rsid w:val="00D576B0"/>
    <w:rsid w:val="00D602C1"/>
    <w:rsid w:val="00D66EDD"/>
    <w:rsid w:val="00D919A9"/>
    <w:rsid w:val="00DA48D3"/>
    <w:rsid w:val="00DA7ECD"/>
    <w:rsid w:val="00DB5D82"/>
    <w:rsid w:val="00DF23A1"/>
    <w:rsid w:val="00DF2B81"/>
    <w:rsid w:val="00DF3D42"/>
    <w:rsid w:val="00DF7F41"/>
    <w:rsid w:val="00E04FA4"/>
    <w:rsid w:val="00E31EDF"/>
    <w:rsid w:val="00E331BC"/>
    <w:rsid w:val="00E344AB"/>
    <w:rsid w:val="00E3550E"/>
    <w:rsid w:val="00E54843"/>
    <w:rsid w:val="00E566D0"/>
    <w:rsid w:val="00E64CD4"/>
    <w:rsid w:val="00E807DE"/>
    <w:rsid w:val="00E81597"/>
    <w:rsid w:val="00E95E3E"/>
    <w:rsid w:val="00EB5C5B"/>
    <w:rsid w:val="00ED0D5D"/>
    <w:rsid w:val="00ED5C2E"/>
    <w:rsid w:val="00EE0401"/>
    <w:rsid w:val="00EE5AC3"/>
    <w:rsid w:val="00EE7ECA"/>
    <w:rsid w:val="00EF38F5"/>
    <w:rsid w:val="00EF59BC"/>
    <w:rsid w:val="00F03295"/>
    <w:rsid w:val="00F10422"/>
    <w:rsid w:val="00F12E78"/>
    <w:rsid w:val="00F12F57"/>
    <w:rsid w:val="00F16870"/>
    <w:rsid w:val="00F25C79"/>
    <w:rsid w:val="00F308D3"/>
    <w:rsid w:val="00F35A98"/>
    <w:rsid w:val="00F42294"/>
    <w:rsid w:val="00F4285C"/>
    <w:rsid w:val="00F66E5E"/>
    <w:rsid w:val="00F73E6D"/>
    <w:rsid w:val="00FA1BBA"/>
    <w:rsid w:val="00FB603A"/>
    <w:rsid w:val="00FC65BF"/>
    <w:rsid w:val="00FE227E"/>
    <w:rsid w:val="00FF1609"/>
    <w:rsid w:val="00FF75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1D215"/>
  <w15:chartTrackingRefBased/>
  <w15:docId w15:val="{284A4B23-11EC-4114-8F4D-2DF5188EE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29D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029D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E590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76F9"/>
    <w:pPr>
      <w:ind w:left="720"/>
      <w:contextualSpacing/>
    </w:pPr>
  </w:style>
  <w:style w:type="table" w:styleId="TableGrid">
    <w:name w:val="Table Grid"/>
    <w:basedOn w:val="TableNormal"/>
    <w:rsid w:val="005E76F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582251"/>
    <w:pPr>
      <w:spacing w:after="200" w:line="240" w:lineRule="auto"/>
    </w:pPr>
    <w:rPr>
      <w:i/>
      <w:iCs/>
      <w:color w:val="44546A" w:themeColor="text2"/>
      <w:sz w:val="18"/>
      <w:szCs w:val="18"/>
    </w:rPr>
  </w:style>
  <w:style w:type="character" w:styleId="Hyperlink">
    <w:name w:val="Hyperlink"/>
    <w:basedOn w:val="DefaultParagraphFont"/>
    <w:uiPriority w:val="99"/>
    <w:unhideWhenUsed/>
    <w:rsid w:val="009804F6"/>
    <w:rPr>
      <w:color w:val="0563C1" w:themeColor="hyperlink"/>
      <w:u w:val="single"/>
    </w:rPr>
  </w:style>
  <w:style w:type="paragraph" w:styleId="Header">
    <w:name w:val="header"/>
    <w:basedOn w:val="Normal"/>
    <w:link w:val="HeaderChar"/>
    <w:uiPriority w:val="99"/>
    <w:unhideWhenUsed/>
    <w:rsid w:val="00F12F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2F57"/>
  </w:style>
  <w:style w:type="paragraph" w:styleId="Footer">
    <w:name w:val="footer"/>
    <w:basedOn w:val="Normal"/>
    <w:link w:val="FooterChar"/>
    <w:uiPriority w:val="99"/>
    <w:unhideWhenUsed/>
    <w:rsid w:val="00F12F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2F57"/>
  </w:style>
  <w:style w:type="table" w:styleId="GridTable4-Accent6">
    <w:name w:val="Grid Table 4 Accent 6"/>
    <w:basedOn w:val="TableNormal"/>
    <w:uiPriority w:val="49"/>
    <w:rsid w:val="003A2B21"/>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GridLight">
    <w:name w:val="Grid Table Light"/>
    <w:basedOn w:val="TableNormal"/>
    <w:uiPriority w:val="40"/>
    <w:rsid w:val="007A4A2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 Grid1"/>
    <w:basedOn w:val="TableNormal"/>
    <w:next w:val="TableGrid"/>
    <w:rsid w:val="00070AC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070AC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070AC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029D2"/>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4029D2"/>
    <w:pPr>
      <w:outlineLvl w:val="9"/>
    </w:pPr>
    <w:rPr>
      <w:lang w:val="en-US"/>
    </w:rPr>
  </w:style>
  <w:style w:type="paragraph" w:styleId="TOC2">
    <w:name w:val="toc 2"/>
    <w:basedOn w:val="Normal"/>
    <w:next w:val="Normal"/>
    <w:autoRedefine/>
    <w:uiPriority w:val="39"/>
    <w:unhideWhenUsed/>
    <w:rsid w:val="00190575"/>
    <w:pPr>
      <w:tabs>
        <w:tab w:val="right" w:leader="dot" w:pos="6974"/>
      </w:tabs>
      <w:spacing w:after="100"/>
      <w:ind w:left="426" w:hanging="284"/>
    </w:pPr>
    <w:rPr>
      <w:rFonts w:eastAsiaTheme="minorEastAsia" w:cs="Times New Roman"/>
      <w:lang w:val="en-US"/>
    </w:rPr>
  </w:style>
  <w:style w:type="paragraph" w:styleId="TOC1">
    <w:name w:val="toc 1"/>
    <w:basedOn w:val="Normal"/>
    <w:next w:val="Normal"/>
    <w:autoRedefine/>
    <w:uiPriority w:val="39"/>
    <w:unhideWhenUsed/>
    <w:rsid w:val="0060395E"/>
    <w:pPr>
      <w:numPr>
        <w:numId w:val="2"/>
      </w:numPr>
      <w:spacing w:after="100"/>
      <w:ind w:left="426" w:hanging="426"/>
    </w:pPr>
    <w:rPr>
      <w:rFonts w:eastAsiaTheme="minorEastAsia" w:cs="Times New Roman"/>
      <w:b/>
      <w:bCs/>
      <w:lang w:val="en-US"/>
    </w:rPr>
  </w:style>
  <w:style w:type="paragraph" w:styleId="TOC3">
    <w:name w:val="toc 3"/>
    <w:basedOn w:val="Normal"/>
    <w:next w:val="Normal"/>
    <w:autoRedefine/>
    <w:uiPriority w:val="39"/>
    <w:unhideWhenUsed/>
    <w:rsid w:val="00011FDF"/>
    <w:pPr>
      <w:tabs>
        <w:tab w:val="right" w:leader="dot" w:pos="6974"/>
      </w:tabs>
      <w:spacing w:after="100"/>
      <w:ind w:left="440" w:firstLine="127"/>
    </w:pPr>
    <w:rPr>
      <w:rFonts w:eastAsiaTheme="minorEastAsia" w:cs="Times New Roman"/>
      <w:lang w:val="en-US"/>
    </w:rPr>
  </w:style>
  <w:style w:type="character" w:customStyle="1" w:styleId="Heading2Char">
    <w:name w:val="Heading 2 Char"/>
    <w:basedOn w:val="DefaultParagraphFont"/>
    <w:link w:val="Heading2"/>
    <w:uiPriority w:val="9"/>
    <w:rsid w:val="004029D2"/>
    <w:rPr>
      <w:rFonts w:asciiTheme="majorHAnsi" w:eastAsiaTheme="majorEastAsia" w:hAnsiTheme="majorHAnsi" w:cstheme="majorBidi"/>
      <w:color w:val="2E74B5" w:themeColor="accent1" w:themeShade="BF"/>
      <w:sz w:val="26"/>
      <w:szCs w:val="26"/>
    </w:rPr>
  </w:style>
  <w:style w:type="table" w:customStyle="1" w:styleId="TableGrid4">
    <w:name w:val="Table Grid4"/>
    <w:basedOn w:val="TableNormal"/>
    <w:next w:val="TableGrid"/>
    <w:uiPriority w:val="39"/>
    <w:rsid w:val="00FB60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71F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1FB4"/>
    <w:rPr>
      <w:rFonts w:ascii="Segoe UI" w:hAnsi="Segoe UI" w:cs="Segoe UI"/>
      <w:sz w:val="18"/>
      <w:szCs w:val="18"/>
    </w:rPr>
  </w:style>
  <w:style w:type="numbering" w:customStyle="1" w:styleId="Style1">
    <w:name w:val="Style1"/>
    <w:uiPriority w:val="99"/>
    <w:rsid w:val="004E1526"/>
    <w:pPr>
      <w:numPr>
        <w:numId w:val="25"/>
      </w:numPr>
    </w:pPr>
  </w:style>
  <w:style w:type="table" w:customStyle="1" w:styleId="TableGrid5">
    <w:name w:val="Table Grid5"/>
    <w:basedOn w:val="TableNormal"/>
    <w:next w:val="TableGrid"/>
    <w:uiPriority w:val="39"/>
    <w:rsid w:val="000B4E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B4E59"/>
    <w:rPr>
      <w:sz w:val="16"/>
      <w:szCs w:val="16"/>
    </w:rPr>
  </w:style>
  <w:style w:type="paragraph" w:styleId="CommentText">
    <w:name w:val="annotation text"/>
    <w:basedOn w:val="Normal"/>
    <w:link w:val="CommentTextChar"/>
    <w:uiPriority w:val="99"/>
    <w:semiHidden/>
    <w:unhideWhenUsed/>
    <w:rsid w:val="000B4E59"/>
    <w:pPr>
      <w:spacing w:line="240" w:lineRule="auto"/>
    </w:pPr>
    <w:rPr>
      <w:sz w:val="20"/>
      <w:szCs w:val="20"/>
    </w:rPr>
  </w:style>
  <w:style w:type="character" w:customStyle="1" w:styleId="CommentTextChar">
    <w:name w:val="Comment Text Char"/>
    <w:basedOn w:val="DefaultParagraphFont"/>
    <w:link w:val="CommentText"/>
    <w:uiPriority w:val="99"/>
    <w:semiHidden/>
    <w:rsid w:val="000B4E59"/>
    <w:rPr>
      <w:sz w:val="20"/>
      <w:szCs w:val="20"/>
    </w:rPr>
  </w:style>
  <w:style w:type="table" w:customStyle="1" w:styleId="TableGrid6">
    <w:name w:val="Table Grid6"/>
    <w:basedOn w:val="TableNormal"/>
    <w:next w:val="TableGrid"/>
    <w:uiPriority w:val="39"/>
    <w:rsid w:val="00B12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B12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6E5905"/>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uiPriority w:val="99"/>
    <w:semiHidden/>
    <w:unhideWhenUsed/>
    <w:rsid w:val="00357CE0"/>
    <w:rPr>
      <w:color w:val="954F72" w:themeColor="followedHyperlink"/>
      <w:u w:val="single"/>
    </w:rPr>
  </w:style>
  <w:style w:type="paragraph" w:styleId="Revision">
    <w:name w:val="Revision"/>
    <w:hidden/>
    <w:uiPriority w:val="99"/>
    <w:semiHidden/>
    <w:rsid w:val="00BC2E55"/>
    <w:pPr>
      <w:spacing w:after="0" w:line="240" w:lineRule="auto"/>
    </w:pPr>
  </w:style>
  <w:style w:type="character" w:styleId="UnresolvedMention">
    <w:name w:val="Unresolved Mention"/>
    <w:basedOn w:val="DefaultParagraphFont"/>
    <w:uiPriority w:val="99"/>
    <w:semiHidden/>
    <w:unhideWhenUsed/>
    <w:rsid w:val="002B5C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alkirk.gov.uk/services/planning-building/planning-policy/supplementary-guidance/ldp2.aspx"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62c3af4-7a9a-4ea7-a9dd-5ca742d82ec7" xsi:nil="true"/>
    <ReporttoDTIB xmlns="fc78463e-d5b0-4fd8-abb1-e1eb3572d92c" xsi:nil="true"/>
    <Info xmlns="fc78463e-d5b0-4fd8-abb1-e1eb3572d92c" xsi:nil="true"/>
    <Source xmlns="fc78463e-d5b0-4fd8-abb1-e1eb3572d92c" xsi:nil="true"/>
    <Signed xmlns="fc78463e-d5b0-4fd8-abb1-e1eb3572d92c" xsi:nil="true"/>
    <lcf76f155ced4ddcb4097134ff3c332f xmlns="fc78463e-d5b0-4fd8-abb1-e1eb3572d92c">
      <Terms xmlns="http://schemas.microsoft.com/office/infopath/2007/PartnerControls"/>
    </lcf76f155ced4ddcb4097134ff3c332f>
    <_Flow_SignoffStatus xmlns="fc78463e-d5b0-4fd8-abb1-e1eb3572d92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25C2128DA25A44EB11494EFA18A119E" ma:contentTypeVersion="24" ma:contentTypeDescription="Create a new document." ma:contentTypeScope="" ma:versionID="677bc366d947d3f4bd792f79a998f4c5">
  <xsd:schema xmlns:xsd="http://www.w3.org/2001/XMLSchema" xmlns:xs="http://www.w3.org/2001/XMLSchema" xmlns:p="http://schemas.microsoft.com/office/2006/metadata/properties" xmlns:ns2="fc78463e-d5b0-4fd8-abb1-e1eb3572d92c" xmlns:ns3="762c3af4-7a9a-4ea7-a9dd-5ca742d82ec7" targetNamespace="http://schemas.microsoft.com/office/2006/metadata/properties" ma:root="true" ma:fieldsID="67e4ea518cacd670d37ee77921a76d41" ns2:_="" ns3:_="">
    <xsd:import namespace="fc78463e-d5b0-4fd8-abb1-e1eb3572d92c"/>
    <xsd:import namespace="762c3af4-7a9a-4ea7-a9dd-5ca742d82ec7"/>
    <xsd:element name="properties">
      <xsd:complexType>
        <xsd:sequence>
          <xsd:element name="documentManagement">
            <xsd:complexType>
              <xsd:all>
                <xsd:element ref="ns2:Info"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Sourc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Signed" minOccurs="0"/>
                <xsd:element ref="ns2:ReporttoDTIB"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8463e-d5b0-4fd8-abb1-e1eb3572d92c" elementFormDefault="qualified">
    <xsd:import namespace="http://schemas.microsoft.com/office/2006/documentManagement/types"/>
    <xsd:import namespace="http://schemas.microsoft.com/office/infopath/2007/PartnerControls"/>
    <xsd:element name="Info" ma:index="8" nillable="true" ma:displayName="Info" ma:format="Dropdown" ma:internalName="Info">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Source" ma:index="21" nillable="true" ma:displayName="Source" ma:format="Dropdown" ma:internalName="Source">
      <xsd:simpleType>
        <xsd:restriction base="dms:Text">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e83bfe8-052f-4e76-8200-e0f72956cd03"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dexed="true" ma:internalName="MediaServiceLocatio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Signed" ma:index="28" nillable="true" ma:displayName="Signed" ma:format="Dropdown" ma:internalName="Signed">
      <xsd:simpleType>
        <xsd:restriction base="dms:Choice">
          <xsd:enumeration value="Yes"/>
          <xsd:enumeration value="No"/>
          <xsd:enumeration value="project started before agreements"/>
          <xsd:enumeration value="project not started"/>
          <xsd:enumeration value="Digital"/>
        </xsd:restriction>
      </xsd:simpleType>
    </xsd:element>
    <xsd:element name="ReporttoDTIB" ma:index="29" nillable="true" ma:displayName="Report to DTIB" ma:format="DateOnly" ma:internalName="ReporttoDTIB">
      <xsd:simpleType>
        <xsd:restriction base="dms:DateTime"/>
      </xsd:simpleType>
    </xsd:element>
    <xsd:element name="_Flow_SignoffStatus" ma:index="30"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2c3af4-7a9a-4ea7-a9dd-5ca742d82ec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1b9aa3df-d8af-40ba-91e2-e5ec8e215a7a}" ma:internalName="TaxCatchAll" ma:showField="CatchAllData" ma:web="762c3af4-7a9a-4ea7-a9dd-5ca742d82e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81F97D-9F3E-4144-A105-A2DB71164243}">
  <ds:schemaRefs>
    <ds:schemaRef ds:uri="http://schemas.microsoft.com/office/2006/metadata/properties"/>
    <ds:schemaRef ds:uri="http://schemas.microsoft.com/office/infopath/2007/PartnerControls"/>
    <ds:schemaRef ds:uri="762c3af4-7a9a-4ea7-a9dd-5ca742d82ec7"/>
    <ds:schemaRef ds:uri="fc78463e-d5b0-4fd8-abb1-e1eb3572d92c"/>
  </ds:schemaRefs>
</ds:datastoreItem>
</file>

<file path=customXml/itemProps2.xml><?xml version="1.0" encoding="utf-8"?>
<ds:datastoreItem xmlns:ds="http://schemas.openxmlformats.org/officeDocument/2006/customXml" ds:itemID="{FE078D6E-624D-45AE-BD36-2737E3588AE4}">
  <ds:schemaRefs>
    <ds:schemaRef ds:uri="http://schemas.microsoft.com/sharepoint/v3/contenttype/forms"/>
  </ds:schemaRefs>
</ds:datastoreItem>
</file>

<file path=customXml/itemProps3.xml><?xml version="1.0" encoding="utf-8"?>
<ds:datastoreItem xmlns:ds="http://schemas.openxmlformats.org/officeDocument/2006/customXml" ds:itemID="{49C7696C-9E6B-42EF-B373-61D23713EC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78463e-d5b0-4fd8-abb1-e1eb3572d92c"/>
    <ds:schemaRef ds:uri="762c3af4-7a9a-4ea7-a9dd-5ca742d82e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BB5760-0673-4FF3-B597-52368A60D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1</Pages>
  <Words>2801</Words>
  <Characters>15967</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East Dunbartonshire Council</Company>
  <LinksUpToDate>false</LinksUpToDate>
  <CharactersWithSpaces>18731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FalkirkCouncil3@falkirk.gov.uk</dc:creator>
  <cp:keywords/>
  <dc:description/>
  <cp:lastModifiedBy>Carole Stevenson</cp:lastModifiedBy>
  <cp:revision>10</cp:revision>
  <dcterms:created xsi:type="dcterms:W3CDTF">2022-05-23T17:09:00Z</dcterms:created>
  <dcterms:modified xsi:type="dcterms:W3CDTF">2024-11-04T09:52:00Z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0x010100E25C2128DA25A44EB11494EFA18A119E</vt:lpwstr>
  </property>
</Properties>
</file>